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51FB8" w14:textId="77777777" w:rsidR="003E176A" w:rsidRDefault="00B352F9">
      <w:pPr>
        <w:widowControl w:val="0"/>
        <w:suppressAutoHyphens/>
        <w:jc w:val="center"/>
        <w:rPr>
          <w:color w:val="000000"/>
        </w:rPr>
      </w:pPr>
      <w:r>
        <w:rPr>
          <w:color w:val="000000"/>
          <w:lang w:val="en-US"/>
        </w:rPr>
        <w:pict w14:anchorId="46252166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0;margin-top:0;width:.75pt;height:.75pt;z-index:251657728;visibility:hidden;mso-position-horizontal-relative:text;mso-position-vertical-relative:text" stroked="f">
            <v:imagedata r:id="rId6" o:title=""/>
          </v:shape>
          <w:control r:id="rId7" w:name="Control 2" w:shapeid="_x0000_s1026"/>
        </w:pict>
      </w:r>
      <w:r>
        <w:rPr>
          <w:color w:val="000000"/>
        </w:rPr>
        <w:t>LIETUVOS RESPUBLIKOS SVEIKATOS APSAUGOS MINISTRO</w:t>
      </w:r>
    </w:p>
    <w:p w14:paraId="46251FB9" w14:textId="77777777" w:rsidR="003E176A" w:rsidRDefault="00B352F9">
      <w:pPr>
        <w:widowControl w:val="0"/>
        <w:suppressAutoHyphens/>
        <w:jc w:val="center"/>
        <w:rPr>
          <w:color w:val="000000"/>
          <w:spacing w:val="60"/>
        </w:rPr>
      </w:pPr>
      <w:r>
        <w:rPr>
          <w:color w:val="000000"/>
          <w:spacing w:val="60"/>
        </w:rPr>
        <w:t>ĮSAKYMAS</w:t>
      </w:r>
    </w:p>
    <w:p w14:paraId="46251FBA" w14:textId="77777777" w:rsidR="003E176A" w:rsidRDefault="003E176A">
      <w:pPr>
        <w:widowControl w:val="0"/>
        <w:suppressAutoHyphens/>
        <w:jc w:val="center"/>
        <w:rPr>
          <w:color w:val="000000"/>
        </w:rPr>
      </w:pPr>
    </w:p>
    <w:p w14:paraId="46251FBB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DĖL LIETUVOS HIGIENOS NORMOS HN 75:2010 „ĮSTAIGA, VYKDANTI IKIMOKYKLINIO IR (AR) PRIEŠMOKYKLINIO UGDYMO PROGRAMĄ. BENDRIEJI SVEIKATOS SAUGOS REIKALAVIMAI“ PATVIRT</w:t>
      </w:r>
      <w:r>
        <w:rPr>
          <w:b/>
          <w:bCs/>
          <w:caps/>
          <w:color w:val="000000"/>
        </w:rPr>
        <w:t>INIMO</w:t>
      </w:r>
    </w:p>
    <w:p w14:paraId="46251FBC" w14:textId="77777777" w:rsidR="003E176A" w:rsidRDefault="003E176A">
      <w:pPr>
        <w:widowControl w:val="0"/>
        <w:suppressAutoHyphens/>
        <w:jc w:val="center"/>
        <w:rPr>
          <w:color w:val="000000"/>
        </w:rPr>
      </w:pPr>
    </w:p>
    <w:p w14:paraId="46251FBD" w14:textId="77777777" w:rsidR="003E176A" w:rsidRDefault="00B352F9">
      <w:pPr>
        <w:widowControl w:val="0"/>
        <w:suppressAutoHyphens/>
        <w:jc w:val="center"/>
        <w:rPr>
          <w:color w:val="000000"/>
        </w:rPr>
      </w:pPr>
      <w:r>
        <w:rPr>
          <w:color w:val="000000"/>
        </w:rPr>
        <w:t>2010 m. balandžio 22 d. Nr. V-313</w:t>
      </w:r>
    </w:p>
    <w:p w14:paraId="46251FBE" w14:textId="77777777" w:rsidR="003E176A" w:rsidRDefault="00B352F9">
      <w:pPr>
        <w:widowControl w:val="0"/>
        <w:suppressAutoHyphens/>
        <w:jc w:val="center"/>
        <w:rPr>
          <w:color w:val="000000"/>
        </w:rPr>
      </w:pPr>
      <w:r>
        <w:rPr>
          <w:color w:val="000000"/>
        </w:rPr>
        <w:t>Vilnius</w:t>
      </w:r>
    </w:p>
    <w:p w14:paraId="46251FBF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p w14:paraId="59E4C6F8" w14:textId="77777777" w:rsidR="00B352F9" w:rsidRDefault="00B352F9">
      <w:pPr>
        <w:widowControl w:val="0"/>
        <w:suppressAutoHyphens/>
        <w:jc w:val="both"/>
        <w:rPr>
          <w:color w:val="000000"/>
        </w:rPr>
      </w:pPr>
    </w:p>
    <w:p w14:paraId="46251FC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 xml:space="preserve">Įgyvendindamas Lietuvos Respublikos visuomenės sveikatos priežiūros įstatymo (Žin., 2002, Nr. </w:t>
      </w:r>
      <w:hyperlink r:id="rId8" w:tgtFrame="_blank" w:history="1">
        <w:r>
          <w:rPr>
            <w:color w:val="0000FF" w:themeColor="hyperlink"/>
            <w:u w:val="single"/>
          </w:rPr>
          <w:t>56-2225</w:t>
        </w:r>
      </w:hyperlink>
      <w:r>
        <w:rPr>
          <w:color w:val="000000"/>
        </w:rPr>
        <w:t xml:space="preserve">; 2007, Nr. </w:t>
      </w:r>
      <w:hyperlink r:id="rId9" w:tgtFrame="_blank" w:history="1">
        <w:r>
          <w:rPr>
            <w:color w:val="0000FF" w:themeColor="hyperlink"/>
            <w:u w:val="single"/>
          </w:rPr>
          <w:t>64-2455</w:t>
        </w:r>
      </w:hyperlink>
      <w:r>
        <w:rPr>
          <w:color w:val="000000"/>
        </w:rPr>
        <w:t>) 36 straipsnio 1 dalį:</w:t>
      </w:r>
    </w:p>
    <w:p w14:paraId="46251FC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 xml:space="preserve">. </w:t>
      </w:r>
      <w:r>
        <w:rPr>
          <w:color w:val="000000"/>
          <w:spacing w:val="60"/>
        </w:rPr>
        <w:t>Tvirtinu</w:t>
      </w:r>
      <w:r>
        <w:rPr>
          <w:color w:val="000000"/>
        </w:rPr>
        <w:t xml:space="preserve"> Lietuvos higienos normą HN 75:2010 „Įstaiga, vykdanti ikimokyklinio ir (ar) priešmokyklinio ugdymo programą. Bendrieji sveikatos saugos reikalav</w:t>
      </w:r>
      <w:r>
        <w:rPr>
          <w:color w:val="000000"/>
        </w:rPr>
        <w:t>imai“ (pridedama).</w:t>
      </w:r>
    </w:p>
    <w:p w14:paraId="46251FC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 xml:space="preserve">. </w:t>
      </w:r>
      <w:r>
        <w:rPr>
          <w:color w:val="000000"/>
          <w:spacing w:val="60"/>
        </w:rPr>
        <w:t>Pripažįstu</w:t>
      </w:r>
      <w:r>
        <w:rPr>
          <w:color w:val="000000"/>
        </w:rPr>
        <w:t xml:space="preserve"> netekusiu galios Lietuvos Respublikos sveikatos apsaugos ministro 2008 m. balandžio 30 d. įsakymą Nr. V-366 „Dėl Lietuvos higienos normos HN 75:2008 „Ikimokyklinio ugdymo mokykla: bendrieji sveikatos saugos reikalavimai</w:t>
      </w:r>
      <w:r>
        <w:rPr>
          <w:color w:val="000000"/>
        </w:rPr>
        <w:t xml:space="preserve">“ patvirtinimo“ (Žin., 2008, Nr. </w:t>
      </w:r>
      <w:hyperlink r:id="rId10" w:tgtFrame="_blank" w:history="1">
        <w:r>
          <w:rPr>
            <w:color w:val="0000FF" w:themeColor="hyperlink"/>
            <w:u w:val="single"/>
          </w:rPr>
          <w:t>54-2005</w:t>
        </w:r>
      </w:hyperlink>
      <w:r>
        <w:rPr>
          <w:color w:val="000000"/>
        </w:rPr>
        <w:t>).</w:t>
      </w:r>
    </w:p>
    <w:p w14:paraId="46251FC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</w:t>
      </w:r>
      <w:r>
        <w:rPr>
          <w:color w:val="000000"/>
        </w:rPr>
        <w:t xml:space="preserve">. </w:t>
      </w:r>
      <w:r>
        <w:rPr>
          <w:color w:val="000000"/>
          <w:spacing w:val="60"/>
        </w:rPr>
        <w:t>Pavedu</w:t>
      </w:r>
      <w:r>
        <w:rPr>
          <w:color w:val="000000"/>
        </w:rPr>
        <w:t xml:space="preserve"> viceministrui pagal administravimo sritį kontroliuoti šio įsakymo vykdymą.</w:t>
      </w:r>
    </w:p>
    <w:p w14:paraId="46251FC6" w14:textId="2F40EB7E" w:rsidR="003E176A" w:rsidRDefault="00B352F9" w:rsidP="00B352F9">
      <w:pPr>
        <w:widowControl w:val="0"/>
        <w:suppressAutoHyphens/>
        <w:ind w:firstLine="567"/>
        <w:jc w:val="both"/>
        <w:rPr>
          <w:caps/>
          <w:color w:val="000000"/>
        </w:rPr>
      </w:pPr>
      <w:r>
        <w:rPr>
          <w:color w:val="000000"/>
        </w:rPr>
        <w:t>4</w:t>
      </w:r>
      <w:r>
        <w:rPr>
          <w:color w:val="000000"/>
        </w:rPr>
        <w:t xml:space="preserve">. </w:t>
      </w:r>
      <w:r>
        <w:rPr>
          <w:color w:val="000000"/>
          <w:spacing w:val="60"/>
        </w:rPr>
        <w:t>Nustata</w:t>
      </w:r>
      <w:r>
        <w:rPr>
          <w:color w:val="000000"/>
        </w:rPr>
        <w:t xml:space="preserve">u, kad šis įsakymas įsigalioja </w:t>
      </w:r>
      <w:r>
        <w:rPr>
          <w:color w:val="000000"/>
        </w:rPr>
        <w:t>2010 m. liepos 1 d.</w:t>
      </w:r>
    </w:p>
    <w:p w14:paraId="57AEC879" w14:textId="77777777" w:rsidR="00B352F9" w:rsidRDefault="00B352F9" w:rsidP="00B352F9">
      <w:pPr>
        <w:widowControl w:val="0"/>
        <w:tabs>
          <w:tab w:val="right" w:pos="9071"/>
        </w:tabs>
        <w:suppressAutoHyphens/>
        <w:rPr>
          <w:caps/>
          <w:color w:val="000000"/>
        </w:rPr>
      </w:pPr>
    </w:p>
    <w:p w14:paraId="2BE194A2" w14:textId="77777777" w:rsidR="00B352F9" w:rsidRDefault="00B352F9" w:rsidP="00B352F9">
      <w:pPr>
        <w:widowControl w:val="0"/>
        <w:tabs>
          <w:tab w:val="right" w:pos="9071"/>
        </w:tabs>
        <w:suppressAutoHyphens/>
        <w:rPr>
          <w:caps/>
          <w:color w:val="000000"/>
        </w:rPr>
      </w:pPr>
    </w:p>
    <w:p w14:paraId="080FC9CC" w14:textId="77777777" w:rsidR="00B352F9" w:rsidRDefault="00B352F9" w:rsidP="00B352F9">
      <w:pPr>
        <w:widowControl w:val="0"/>
        <w:tabs>
          <w:tab w:val="right" w:pos="9071"/>
        </w:tabs>
        <w:suppressAutoHyphens/>
        <w:rPr>
          <w:caps/>
          <w:color w:val="000000"/>
        </w:rPr>
      </w:pPr>
    </w:p>
    <w:p w14:paraId="46251FCA" w14:textId="674DB9E6" w:rsidR="003E176A" w:rsidRDefault="00B352F9" w:rsidP="00B352F9">
      <w:pPr>
        <w:widowControl w:val="0"/>
        <w:tabs>
          <w:tab w:val="right" w:pos="9071"/>
        </w:tabs>
        <w:suppressAutoHyphens/>
        <w:rPr>
          <w:color w:val="000000"/>
        </w:rPr>
      </w:pPr>
      <w:r>
        <w:rPr>
          <w:caps/>
          <w:color w:val="000000"/>
        </w:rPr>
        <w:t xml:space="preserve">SVEIKATOS APSAUGOS MINISTRAS </w:t>
      </w:r>
      <w:r>
        <w:rPr>
          <w:caps/>
          <w:color w:val="000000"/>
        </w:rPr>
        <w:tab/>
        <w:t>RAIMONDAS ŠUKYS</w:t>
      </w:r>
    </w:p>
    <w:p w14:paraId="46251FCB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PATVIRTINTA</w:t>
      </w:r>
    </w:p>
    <w:p w14:paraId="46251FCC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 xml:space="preserve">Lietuvos Respublikos </w:t>
      </w:r>
    </w:p>
    <w:p w14:paraId="46251FCD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 xml:space="preserve">sveikatos apsaugos ministro </w:t>
      </w:r>
    </w:p>
    <w:p w14:paraId="46251FCE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>2010 m. balandžio 22 d. įsakymu Nr. V-313</w:t>
      </w:r>
    </w:p>
    <w:p w14:paraId="46251FCF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p w14:paraId="46251FD0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LIETUVOS HIGIENOS NORMA HN 75:2010 „ĮSTAIGA, VYKDANTI</w:t>
      </w:r>
      <w:r>
        <w:rPr>
          <w:b/>
          <w:bCs/>
          <w:caps/>
          <w:color w:val="000000"/>
        </w:rPr>
        <w:t xml:space="preserve"> IKIMOKYKLINIO IR (AR) PRIEŠMOKYKLINIO UGDYMO PROGRAMĄ. Bendrieji sveikatos saugos reikalavimai“</w:t>
      </w:r>
    </w:p>
    <w:p w14:paraId="46251FD1" w14:textId="77777777" w:rsidR="003E176A" w:rsidRDefault="003E176A">
      <w:pPr>
        <w:widowControl w:val="0"/>
        <w:suppressAutoHyphens/>
        <w:jc w:val="center"/>
        <w:rPr>
          <w:color w:val="000000"/>
        </w:rPr>
      </w:pPr>
    </w:p>
    <w:p w14:paraId="46251FD2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I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TAIKYMO SRITIS</w:t>
      </w:r>
    </w:p>
    <w:p w14:paraId="46251FD3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1FD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>. Ši higienos norma nustato pagrindinius įstaigų, įmonių ar grupių, kurios vykdo ikimokyklinio ir (ar) priešmokyklinio ugdymo prog</w:t>
      </w:r>
      <w:r>
        <w:rPr>
          <w:color w:val="000000"/>
        </w:rPr>
        <w:t>ramas (toliau – įstaiga), ugdymo proceso organizavimo sveikatos saugos reikalavimus.</w:t>
      </w:r>
    </w:p>
    <w:p w14:paraId="46251FD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>. Ši higienos norma taikoma projektuojant, statant, rekonstruojant, remontuojant, įrengiant, naudojant ir eksploatuojant įstaigas.</w:t>
      </w:r>
    </w:p>
    <w:p w14:paraId="46251FD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3"/>
        </w:rPr>
        <w:t>3</w:t>
      </w:r>
      <w:r>
        <w:rPr>
          <w:color w:val="000000"/>
          <w:spacing w:val="-3"/>
        </w:rPr>
        <w:t>. Šios higienos normos reikala</w:t>
      </w:r>
      <w:r>
        <w:rPr>
          <w:color w:val="000000"/>
          <w:spacing w:val="-3"/>
        </w:rPr>
        <w:t>vimai privalomi asmenims, projektuojantiems, statantiems, įrengiantiems, rekonstruojantiems, naudojantiems, eksploatuojantiems įstaigų statinius ir (ar) patalpas, vykdantiems ikimokyklinio ir (ar) priešmokyklinio ugdymo programas ir kontrolę vykdančioms in</w:t>
      </w:r>
      <w:r>
        <w:rPr>
          <w:color w:val="000000"/>
          <w:spacing w:val="-3"/>
        </w:rPr>
        <w:t>stitucijoms.</w:t>
      </w:r>
    </w:p>
    <w:p w14:paraId="46251FD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1FD8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II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NUORODOS</w:t>
      </w:r>
    </w:p>
    <w:p w14:paraId="46251FD9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1FD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</w:t>
      </w:r>
      <w:r>
        <w:rPr>
          <w:color w:val="000000"/>
        </w:rPr>
        <w:t>. Teisės aktai, į kuriuos šioje higienos normoje pateiktos nuorodos:</w:t>
      </w:r>
    </w:p>
    <w:p w14:paraId="46251FD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</w:t>
      </w:r>
      <w:r>
        <w:rPr>
          <w:color w:val="000000"/>
        </w:rPr>
        <w:t xml:space="preserve">. Lietuvos Respublikos švietimo įstatymas (Žin., 1991, Nr. </w:t>
      </w:r>
      <w:hyperlink r:id="rId11" w:tgtFrame="_blank" w:history="1">
        <w:r>
          <w:rPr>
            <w:color w:val="0000FF" w:themeColor="hyperlink"/>
            <w:u w:val="single"/>
          </w:rPr>
          <w:t>23-59</w:t>
        </w:r>
        <w:r>
          <w:rPr>
            <w:color w:val="0000FF" w:themeColor="hyperlink"/>
            <w:u w:val="single"/>
          </w:rPr>
          <w:t>3</w:t>
        </w:r>
      </w:hyperlink>
      <w:r>
        <w:rPr>
          <w:color w:val="000000"/>
        </w:rPr>
        <w:t xml:space="preserve">; 2003, Nr. </w:t>
      </w:r>
      <w:hyperlink r:id="rId12" w:tgtFrame="_blank" w:history="1">
        <w:r>
          <w:rPr>
            <w:color w:val="0000FF" w:themeColor="hyperlink"/>
            <w:u w:val="single"/>
          </w:rPr>
          <w:t>63-2853</w:t>
        </w:r>
      </w:hyperlink>
      <w:r>
        <w:rPr>
          <w:color w:val="000000"/>
        </w:rPr>
        <w:t>);</w:t>
      </w:r>
    </w:p>
    <w:p w14:paraId="46251FD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 xml:space="preserve">. Lietuvos Respublikos Vyriausybės 1999 m. gegužės 7 d. nutarimas Nr. 544 „Dėl darbų ir veiklos sričių, kuriose leidžiama dirbti asmenims, tik iš anksto pasitikrinusiems ir vėliau periodiškai besitikrinantiems sveikatą dėl užkrečiamųjų ligų, sąrašo ir šių </w:t>
      </w:r>
      <w:r>
        <w:rPr>
          <w:color w:val="000000"/>
        </w:rPr>
        <w:t xml:space="preserve">asmenų sveikatos tikrinimo tvarkos“ (Žin., 1999, Nr. </w:t>
      </w:r>
      <w:hyperlink r:id="rId13" w:tgtFrame="_blank" w:history="1">
        <w:r>
          <w:rPr>
            <w:color w:val="0000FF" w:themeColor="hyperlink"/>
            <w:u w:val="single"/>
          </w:rPr>
          <w:t>41-1294</w:t>
        </w:r>
      </w:hyperlink>
      <w:r>
        <w:rPr>
          <w:color w:val="000000"/>
        </w:rPr>
        <w:t>; 2002, Nr. 73-3127);</w:t>
      </w:r>
    </w:p>
    <w:p w14:paraId="46251FD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 xml:space="preserve">. Lietuvos Respublikos susisiekimo ministerijos 1998 m. birželio 23 d. įsakymas Nr. 257 </w:t>
      </w:r>
      <w:r>
        <w:rPr>
          <w:color w:val="000000"/>
        </w:rPr>
        <w:t xml:space="preserve">„Dėl techninių normų TN 01:1998 patvirtinimo“ (Žin., 1998, Nr. </w:t>
      </w:r>
      <w:hyperlink r:id="rId14" w:tgtFrame="_blank" w:history="1">
        <w:r>
          <w:rPr>
            <w:color w:val="0000FF" w:themeColor="hyperlink"/>
            <w:u w:val="single"/>
          </w:rPr>
          <w:t>58-1631</w:t>
        </w:r>
      </w:hyperlink>
      <w:r>
        <w:rPr>
          <w:color w:val="000000"/>
        </w:rPr>
        <w:t>);</w:t>
      </w:r>
    </w:p>
    <w:p w14:paraId="46251FDE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4.4</w:t>
      </w:r>
      <w:r>
        <w:rPr>
          <w:color w:val="000000"/>
        </w:rPr>
        <w:t xml:space="preserve">. Lietuvos Respublikos sveikatos apsaugos ministro 1999 m. lapkričio 29 d. įsakymas Nr. 515 „Dėl </w:t>
      </w:r>
      <w:r>
        <w:rPr>
          <w:color w:val="000000"/>
        </w:rPr>
        <w:t xml:space="preserve">sveikatos priežiūros įstaigų veiklos apskaitos ir atskaitomybės tvarkos“ (Žin., 1999, Nr. </w:t>
      </w:r>
      <w:hyperlink r:id="rId15" w:tgtFrame="_blank" w:history="1">
        <w:r>
          <w:rPr>
            <w:color w:val="0000FF" w:themeColor="hyperlink"/>
            <w:u w:val="single"/>
          </w:rPr>
          <w:t>103-2972</w:t>
        </w:r>
      </w:hyperlink>
      <w:r>
        <w:rPr>
          <w:color w:val="000000"/>
        </w:rPr>
        <w:t>);</w:t>
      </w:r>
    </w:p>
    <w:p w14:paraId="46251FD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4.5</w:t>
      </w:r>
      <w:r>
        <w:rPr>
          <w:color w:val="000000"/>
        </w:rPr>
        <w:t>. Lietuvos Respublikos sveikatos apsaugos ministro 2000 m. gegužės 31</w:t>
      </w:r>
      <w:r>
        <w:rPr>
          <w:color w:val="000000"/>
        </w:rPr>
        <w:t xml:space="preserve"> d. įsakymas Nr. 301 „Dėl profilaktinių sveikatos tikrinimų sveikatos priežiūros įstaigose“ (Žin., 2000, Nr. </w:t>
      </w:r>
      <w:hyperlink r:id="rId16" w:tgtFrame="_blank" w:history="1">
        <w:r>
          <w:rPr>
            <w:color w:val="0000FF" w:themeColor="hyperlink"/>
            <w:u w:val="single"/>
          </w:rPr>
          <w:t>47-1365</w:t>
        </w:r>
      </w:hyperlink>
      <w:r>
        <w:rPr>
          <w:color w:val="000000"/>
        </w:rPr>
        <w:t>);</w:t>
      </w:r>
    </w:p>
    <w:p w14:paraId="46251FE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4.6</w:t>
      </w:r>
      <w:r>
        <w:rPr>
          <w:color w:val="000000"/>
        </w:rPr>
        <w:t>. Lietuvos Respublikos aplinkos ministro 2002 m. ge</w:t>
      </w:r>
      <w:r>
        <w:rPr>
          <w:color w:val="000000"/>
        </w:rPr>
        <w:t xml:space="preserve">gužės 14 d. įsakymas Nr. 242 „Dėl statybos techninio reglamento STR 1.11. 01:2002 „Statinių pripažinimo tinkamais naudoti tvarka“ patvirtinimo“ (Žin., 2002, Nr. </w:t>
      </w:r>
      <w:hyperlink r:id="rId17" w:tgtFrame="_blank" w:history="1">
        <w:r>
          <w:rPr>
            <w:color w:val="0000FF" w:themeColor="hyperlink"/>
            <w:u w:val="single"/>
          </w:rPr>
          <w:t>60-2475</w:t>
        </w:r>
      </w:hyperlink>
      <w:r>
        <w:rPr>
          <w:color w:val="000000"/>
        </w:rPr>
        <w:t>);</w:t>
      </w:r>
    </w:p>
    <w:p w14:paraId="46251FE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4.7</w:t>
      </w:r>
      <w:r>
        <w:rPr>
          <w:color w:val="000000"/>
        </w:rPr>
        <w:t xml:space="preserve">. Lietuvos Respublikos sveikatos apsaugos ministro 2002 m. liepos 8 d. įsakymas Nr. 358 „Dėl Biocidų autorizacijos ir registracijos nuostatų patvirtinimo“ (Žin., 2002, Nr. </w:t>
      </w:r>
      <w:hyperlink r:id="rId18" w:tgtFrame="_blank" w:history="1">
        <w:r>
          <w:rPr>
            <w:color w:val="0000FF" w:themeColor="hyperlink"/>
            <w:u w:val="single"/>
          </w:rPr>
          <w:t>79-3</w:t>
        </w:r>
        <w:r>
          <w:rPr>
            <w:color w:val="0000FF" w:themeColor="hyperlink"/>
            <w:u w:val="single"/>
          </w:rPr>
          <w:t>361</w:t>
        </w:r>
      </w:hyperlink>
      <w:r>
        <w:rPr>
          <w:color w:val="000000"/>
        </w:rPr>
        <w:t>);</w:t>
      </w:r>
    </w:p>
    <w:p w14:paraId="46251FE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4.8</w:t>
      </w:r>
      <w:r>
        <w:rPr>
          <w:color w:val="000000"/>
        </w:rPr>
        <w:t>. Lietuvos Respublikos sveikatos apsaugos ministro 2003 m. liepos 11 d. įsakymas Nr. V-450 „Dėl Sveikatos priežiūros ir farmacijos specialistų kompetencijos teikiant pirmąją medicinos pagalbą, pirmosios medicinos pagalbos vaistinėlių ir pirmos</w:t>
      </w:r>
      <w:r>
        <w:rPr>
          <w:color w:val="000000"/>
        </w:rPr>
        <w:t xml:space="preserve">ios pagalbos rinkinių“ (Žin., 2003, Nr. </w:t>
      </w:r>
      <w:hyperlink r:id="rId19" w:tgtFrame="_blank" w:history="1">
        <w:r>
          <w:rPr>
            <w:color w:val="0000FF" w:themeColor="hyperlink"/>
            <w:u w:val="single"/>
          </w:rPr>
          <w:t>79-3605</w:t>
        </w:r>
      </w:hyperlink>
      <w:r>
        <w:rPr>
          <w:color w:val="000000"/>
        </w:rPr>
        <w:t>);</w:t>
      </w:r>
    </w:p>
    <w:p w14:paraId="46251FE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4.9</w:t>
      </w:r>
      <w:r>
        <w:rPr>
          <w:color w:val="000000"/>
        </w:rPr>
        <w:t>. Lietuvos Respublikos sveikatos apsaugos ministro 2003 m. liepos 23 d. įsakymas Nr. V-455 „Dėl Lietuvos higienos normos</w:t>
      </w:r>
      <w:r>
        <w:rPr>
          <w:color w:val="000000"/>
        </w:rPr>
        <w:t xml:space="preserve"> HN 24:2003 „Geriamojo vandens saugos ir kokybės reikalavimai“ patvirtinimo“ (Žin., 2003, Nr. </w:t>
      </w:r>
      <w:hyperlink r:id="rId20" w:tgtFrame="_blank" w:history="1">
        <w:r>
          <w:rPr>
            <w:color w:val="0000FF" w:themeColor="hyperlink"/>
            <w:u w:val="single"/>
          </w:rPr>
          <w:t>79-3606</w:t>
        </w:r>
      </w:hyperlink>
      <w:r>
        <w:rPr>
          <w:color w:val="000000"/>
        </w:rPr>
        <w:t>);</w:t>
      </w:r>
    </w:p>
    <w:p w14:paraId="46251FE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4.10</w:t>
      </w:r>
      <w:r>
        <w:rPr>
          <w:color w:val="000000"/>
        </w:rPr>
        <w:t>. Lietuvos Respublikos sveikatos apsaugos ministro 2004 m. gruodž</w:t>
      </w:r>
      <w:r>
        <w:rPr>
          <w:color w:val="000000"/>
        </w:rPr>
        <w:t xml:space="preserve">io 24 d. </w:t>
      </w:r>
      <w:r>
        <w:rPr>
          <w:color w:val="000000"/>
        </w:rPr>
        <w:lastRenderedPageBreak/>
        <w:t xml:space="preserve">įsakymas Nr. V-951 „Dėl statistinės apskaitos formos Nr. 027-1/a „Vaiko sveikatos pažymėjimas“ patvirtinimo“ (Žin., 2005, Nr. </w:t>
      </w:r>
      <w:hyperlink r:id="rId21" w:tgtFrame="_blank" w:history="1">
        <w:r>
          <w:rPr>
            <w:color w:val="0000FF" w:themeColor="hyperlink"/>
            <w:u w:val="single"/>
          </w:rPr>
          <w:t>3-38</w:t>
        </w:r>
      </w:hyperlink>
      <w:r>
        <w:rPr>
          <w:color w:val="000000"/>
        </w:rPr>
        <w:t>);</w:t>
      </w:r>
    </w:p>
    <w:p w14:paraId="46251FE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4.11</w:t>
      </w:r>
      <w:r>
        <w:rPr>
          <w:color w:val="000000"/>
        </w:rPr>
        <w:t xml:space="preserve">. Lietuvos Respublikos sveikatos apsaugos ministro 2005 m. rugsėjo 1 d. įsakymas Nr. V-675 „Dėl Lietuvos higienos normos HN 15:2005 „Maisto higiena“ patvirtinimo“ (Žin., 2005, Nr. </w:t>
      </w:r>
      <w:hyperlink r:id="rId22" w:tgtFrame="_blank" w:history="1">
        <w:r>
          <w:rPr>
            <w:color w:val="0000FF" w:themeColor="hyperlink"/>
            <w:u w:val="single"/>
          </w:rPr>
          <w:t>110-4023</w:t>
        </w:r>
      </w:hyperlink>
      <w:r>
        <w:rPr>
          <w:color w:val="000000"/>
        </w:rPr>
        <w:t>);</w:t>
      </w:r>
    </w:p>
    <w:p w14:paraId="46251FE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4.12</w:t>
      </w:r>
      <w:r>
        <w:rPr>
          <w:color w:val="000000"/>
        </w:rPr>
        <w:t>. Valstybinės maisto ir veterinarijos tarnybos direktoriaus 2008 m. spalio 15 d. įsakymas Nr. B1-527 „Dėl Maisto tvarkymo subjektų patvirtinimo ir registravimo reikalavimų patvirtinimo“ (Žin., 2008, Nr. 123- 4693);</w:t>
      </w:r>
    </w:p>
    <w:p w14:paraId="46251FE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4.13</w:t>
      </w:r>
      <w:r>
        <w:rPr>
          <w:color w:val="000000"/>
        </w:rPr>
        <w:t xml:space="preserve">. Lietuvos Respublikos sveikatos apsaugos ministro 2006 m. vasario 27 d. įsakymas Nr. V-137 „Dėl Lietuvos higienos normos HN 90:2006 „Dezinsekcijos ir deratizacijos bendrieji saugos reikalavimai“ patvirtinimo“ (Žin., 2006, Nr. </w:t>
      </w:r>
      <w:hyperlink r:id="rId23" w:tgtFrame="_blank" w:history="1">
        <w:r>
          <w:rPr>
            <w:color w:val="0000FF" w:themeColor="hyperlink"/>
            <w:u w:val="single"/>
          </w:rPr>
          <w:t>27-918</w:t>
        </w:r>
      </w:hyperlink>
      <w:r>
        <w:rPr>
          <w:color w:val="000000"/>
        </w:rPr>
        <w:t>);</w:t>
      </w:r>
    </w:p>
    <w:p w14:paraId="46251FE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4.14</w:t>
      </w:r>
      <w:r>
        <w:rPr>
          <w:color w:val="000000"/>
        </w:rPr>
        <w:t>. Lietuvos Respublikos sveikatos apsaugos ministro 2007 m. gegužės 10 d. įsakymas Nr. V-362 „Dėl Lietuvos higienos normos HN 35:2007 „Didžiausia leidžiamų cheminių medžiagų (teršalų) koncen</w:t>
      </w:r>
      <w:r>
        <w:rPr>
          <w:color w:val="000000"/>
        </w:rPr>
        <w:t xml:space="preserve">tracija gyvenamosios aplinkos ore“ patvirtinimo“ (Žin., 2007, Nr. </w:t>
      </w:r>
      <w:hyperlink r:id="rId24" w:tgtFrame="_blank" w:history="1">
        <w:r>
          <w:rPr>
            <w:color w:val="0000FF" w:themeColor="hyperlink"/>
            <w:u w:val="single"/>
          </w:rPr>
          <w:t>55-2162</w:t>
        </w:r>
      </w:hyperlink>
      <w:r>
        <w:rPr>
          <w:color w:val="000000"/>
        </w:rPr>
        <w:t>);</w:t>
      </w:r>
    </w:p>
    <w:p w14:paraId="46251FE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4.15</w:t>
      </w:r>
      <w:r>
        <w:rPr>
          <w:color w:val="000000"/>
        </w:rPr>
        <w:t>. Lietuvos Respublikos sveikatos apsaugos ministro 2007 m. liepos 2 d. įsakymas Nr. V-555 „Dė</w:t>
      </w:r>
      <w:r>
        <w:rPr>
          <w:color w:val="000000"/>
        </w:rPr>
        <w:t xml:space="preserve">l Lietuvos higienos normos HN 33:2007 „Akustinis triukšmas. Triukšmo ribiniai dydžiai gyvenamosios ir visuomenės paskirties pastatuose bei jų aplinkoje“ patvirtinimo“ (Žin., 2007, Nr. </w:t>
      </w:r>
      <w:hyperlink r:id="rId25" w:tgtFrame="_blank" w:history="1">
        <w:r>
          <w:rPr>
            <w:color w:val="0000FF" w:themeColor="hyperlink"/>
            <w:u w:val="single"/>
          </w:rPr>
          <w:t>75-2990</w:t>
        </w:r>
      </w:hyperlink>
      <w:r>
        <w:rPr>
          <w:color w:val="000000"/>
        </w:rPr>
        <w:t>);</w:t>
      </w:r>
    </w:p>
    <w:p w14:paraId="46251FE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4.16</w:t>
      </w:r>
      <w:r>
        <w:rPr>
          <w:color w:val="000000"/>
        </w:rPr>
        <w:t>. Lietuvos Respublikos sveikatos apsaugos ministro 2007 m. spalio 5 d. įsakymas Nr. V-791 „Dėl Ūkinės komercinės veiklos rūšių, kurioms būtinas leidimas-higienos pasas, sąrašo bei leidimų-higienos pasų išdavimo taisyklių“ patvirtin</w:t>
      </w:r>
      <w:r>
        <w:rPr>
          <w:color w:val="000000"/>
        </w:rPr>
        <w:t xml:space="preserve">imo“ (Žin., 2007, Nr. </w:t>
      </w:r>
      <w:hyperlink r:id="rId26" w:tgtFrame="_blank" w:history="1">
        <w:r>
          <w:rPr>
            <w:color w:val="0000FF" w:themeColor="hyperlink"/>
            <w:u w:val="single"/>
          </w:rPr>
          <w:t>106-4352</w:t>
        </w:r>
      </w:hyperlink>
      <w:r>
        <w:rPr>
          <w:color w:val="000000"/>
        </w:rPr>
        <w:t>);</w:t>
      </w:r>
    </w:p>
    <w:p w14:paraId="46251FE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4.17</w:t>
      </w:r>
      <w:r>
        <w:rPr>
          <w:color w:val="000000"/>
        </w:rPr>
        <w:t>. Lietuvos Respublikos sveikatos apsaugos ministro 2008 m. sausio 28 d. įsakymas Nr. V-69 „Dėl privalomojo pirmosios pagalbos mokymo pro</w:t>
      </w:r>
      <w:r>
        <w:rPr>
          <w:color w:val="000000"/>
        </w:rPr>
        <w:t xml:space="preserve">gramos, privalomojo higienos įgūdžių mokymo programos ir privalomojo mokymo apie alkoholio ir narkotikų žalą žmogaus sveikatai mokymo programos patvirtinimo“ (Žin., 2008, Nr. </w:t>
      </w:r>
      <w:hyperlink r:id="rId27" w:tgtFrame="_blank" w:history="1">
        <w:r>
          <w:rPr>
            <w:color w:val="0000FF" w:themeColor="hyperlink"/>
            <w:u w:val="single"/>
          </w:rPr>
          <w:t>14</w:t>
        </w:r>
        <w:r>
          <w:rPr>
            <w:color w:val="0000FF" w:themeColor="hyperlink"/>
            <w:u w:val="single"/>
          </w:rPr>
          <w:t>-490</w:t>
        </w:r>
      </w:hyperlink>
      <w:r>
        <w:rPr>
          <w:color w:val="000000"/>
        </w:rPr>
        <w:t>);</w:t>
      </w:r>
    </w:p>
    <w:p w14:paraId="46251FE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2"/>
        </w:rPr>
        <w:t>4.18</w:t>
      </w:r>
      <w:r>
        <w:rPr>
          <w:color w:val="000000"/>
          <w:spacing w:val="-2"/>
        </w:rPr>
        <w:t xml:space="preserve">. Lietuvos Respublikos sveikatos apsaugos ministro 2005 m. gruodžio 5 d. įsakymas Nr. V-946„Dėl Pavojingų ir ypač pavojingų užkrečiamųjų ligų židinių privalomojo aplinkos kenksmingumo pašalinimo (dezinfekcijos, dezinsekcijos, deratizacijos) </w:t>
      </w:r>
      <w:r>
        <w:rPr>
          <w:color w:val="000000"/>
          <w:spacing w:val="-2"/>
        </w:rPr>
        <w:t xml:space="preserve">tvarkos aprašo patvirtinimo“ (Žin., 2005, Nr. </w:t>
      </w:r>
      <w:hyperlink r:id="rId28" w:tgtFrame="_blank" w:history="1">
        <w:r>
          <w:rPr>
            <w:color w:val="0000FF" w:themeColor="hyperlink"/>
            <w:spacing w:val="-2"/>
            <w:u w:val="single"/>
          </w:rPr>
          <w:t>146-5336</w:t>
        </w:r>
      </w:hyperlink>
      <w:r>
        <w:rPr>
          <w:color w:val="000000"/>
          <w:spacing w:val="-2"/>
        </w:rPr>
        <w:t>).</w:t>
      </w:r>
    </w:p>
    <w:p w14:paraId="46251FE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1FEE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III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BENDROSIOS NUOSTATOS</w:t>
      </w:r>
    </w:p>
    <w:p w14:paraId="46251FEF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1FF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 xml:space="preserve">. Šioje higienos normoje vartojamos sąvokos atitinka Lietuvos Respublikos </w:t>
      </w:r>
      <w:r>
        <w:rPr>
          <w:color w:val="000000"/>
        </w:rPr>
        <w:t>švietimo įstatyme [4.1] ir kituose teisės aktuose vartojamas sąvokas.</w:t>
      </w:r>
    </w:p>
    <w:p w14:paraId="46251FF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</w:t>
      </w:r>
      <w:r>
        <w:rPr>
          <w:color w:val="000000"/>
        </w:rPr>
        <w:t>. Įstaigoje turi būti sudarytos saugios ugdymo sąlygos.</w:t>
      </w:r>
    </w:p>
    <w:p w14:paraId="46251FF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</w:t>
      </w:r>
      <w:r>
        <w:rPr>
          <w:color w:val="000000"/>
        </w:rPr>
        <w:t>. Įstaiga gali veikti tik teisės akto [4.6] nustatyta tvarka pripažintame tinkamu naudoti pastate.</w:t>
      </w:r>
    </w:p>
    <w:p w14:paraId="46251FF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</w:t>
      </w:r>
      <w:r>
        <w:rPr>
          <w:color w:val="000000"/>
        </w:rPr>
        <w:t>. Įstaiga gali v</w:t>
      </w:r>
      <w:r>
        <w:rPr>
          <w:color w:val="000000"/>
        </w:rPr>
        <w:t>ykdyti veiklą tik teisės akto [4.16] nustatyta tvarka gavusi leidimą-higienos pasą.</w:t>
      </w:r>
    </w:p>
    <w:p w14:paraId="46251FF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</w:t>
      </w:r>
      <w:r>
        <w:rPr>
          <w:color w:val="000000"/>
        </w:rPr>
        <w:t xml:space="preserve">. Ugdymo grupės formuojamos iš to paties arba skirtingo amžiaus vaikų, užtikrinant vaiko dienos ir ugdymo režimo fiziologinius ir amžiaus ypatumus: grupėse iki 1 metų </w:t>
      </w:r>
      <w:r>
        <w:rPr>
          <w:color w:val="000000"/>
        </w:rPr>
        <w:t>amžiaus gali būti ne daugiau kaip 6 vaikai, nuo 1 iki 1,5 metų – ne daugiau kaip 10 vaikų, nuo 1,5 iki 3 metų – ne daugiau kaip 15 vaikų, nuo 3 iki 7 metų – ne daugiau kaip 20 vaikų. Skirtingo amžiaus vaikų grupėse nuo gimimo iki 3 metų gali būti ne daugia</w:t>
      </w:r>
      <w:r>
        <w:rPr>
          <w:color w:val="000000"/>
        </w:rPr>
        <w:t>u kaip 8 vaikai. Grupių sąrašai turi būti sudaromi neviršijant pagal amžiaus grupes nurodyto vaikų skaičiaus.</w:t>
      </w:r>
    </w:p>
    <w:p w14:paraId="46251FF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</w:t>
      </w:r>
      <w:r>
        <w:rPr>
          <w:color w:val="000000"/>
        </w:rPr>
        <w:t>. Vienas sutrikusio intelekto, kurčias, neprigirdintis, aklas, silpnaregis, turintis judesio ir padėties, kompleksinių, elgesio, žymių kalbo</w:t>
      </w:r>
      <w:r>
        <w:rPr>
          <w:color w:val="000000"/>
        </w:rPr>
        <w:t>s ar kitų komunikacijos sutrikimų, neįgalus vaikas, integruotai ugdomas įstaigos grupėje, prilyginamas dviem tos grupės, kurioje ugdomas, vaikams, todėl atitinkamai mažinamas 9 punkte nustatytas grupės vaikų skaičius.</w:t>
      </w:r>
    </w:p>
    <w:p w14:paraId="46251FF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11</w:t>
      </w:r>
      <w:r>
        <w:rPr>
          <w:color w:val="000000"/>
        </w:rPr>
        <w:t>. Specialiosios ikimokyklinio ir</w:t>
      </w:r>
      <w:r>
        <w:rPr>
          <w:color w:val="000000"/>
        </w:rPr>
        <w:t xml:space="preserve"> (ar) priešmokyklinio ugdymo grupės </w:t>
      </w:r>
      <w:r>
        <w:rPr>
          <w:color w:val="000000"/>
        </w:rPr>
        <w:lastRenderedPageBreak/>
        <w:t>komplektuojamos taip:</w:t>
      </w:r>
    </w:p>
    <w:p w14:paraId="46251FF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11.1</w:t>
      </w:r>
      <w:r>
        <w:rPr>
          <w:color w:val="000000"/>
        </w:rPr>
        <w:t>. turinčių vidutinį, žymų ir labai žymų intelekto sutrikimą – ne daugiau kaip 6 vaikai; aklųjų – ne daugiau kaip 6 vaikai; silpnaregių – ne daugiau kaip 10 vaikų; sutrikusios klausos – ne daug</w:t>
      </w:r>
      <w:r>
        <w:rPr>
          <w:color w:val="000000"/>
        </w:rPr>
        <w:t>iau kaip 6 vaikai; turinčių žymių kalbos ar kitų komunikacijos sutrikimų – ne daugiau kaip 10 vaikų; turinčių judesio ir padėties sutrikimų – ne daugiau kaip 8 vaikai; turinčių kompleksinių raidos sutrikimų – ne daugiau kaip 6 vaikai; turinčių kompleksinių</w:t>
      </w:r>
      <w:r>
        <w:rPr>
          <w:color w:val="000000"/>
        </w:rPr>
        <w:t xml:space="preserve"> raidos sutrikimų (ir judesio, ir padėties) – ne daugiau kaip 3 vaikai;</w:t>
      </w:r>
    </w:p>
    <w:p w14:paraId="46251FF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11.2</w:t>
      </w:r>
      <w:r>
        <w:rPr>
          <w:color w:val="000000"/>
        </w:rPr>
        <w:t xml:space="preserve">. vienas aklasis specialiojoje silpnaregių ikimokyklinio ir (ar) priešmokyklinio ugdymo grupėje, vienas turintis kompleksinių raidos sutrikimų ar neįgalus vaikas specialiojoje </w:t>
      </w:r>
      <w:r>
        <w:rPr>
          <w:color w:val="000000"/>
        </w:rPr>
        <w:t>ikimokyklinėje ir (ar) priešmokyklinėje grupėje prilyginamas dviem tos grupės vaikams.</w:t>
      </w:r>
    </w:p>
    <w:p w14:paraId="46251FF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12</w:t>
      </w:r>
      <w:r>
        <w:rPr>
          <w:color w:val="000000"/>
        </w:rPr>
        <w:t>. Vienu metu grupėje su vaikais nuo gimimo iki 1 metų amžiaus turi dirbti ne mažiau kaip 2 pedagogai; su vaikais nuo 1 iki 7 metų turi dirbti ne mažiau kaip 2 da</w:t>
      </w:r>
      <w:r>
        <w:rPr>
          <w:color w:val="000000"/>
        </w:rPr>
        <w:t>rbuotojai, iš jų – ne mažiau kaip 1 pedagogas (ikimokyklinio ugdymo auklėtojas ar priešmokyklinio ugdymo pedagogas).</w:t>
      </w:r>
    </w:p>
    <w:p w14:paraId="46251FFA" w14:textId="77777777" w:rsidR="003E176A" w:rsidRDefault="00B352F9">
      <w:pPr>
        <w:widowControl w:val="0"/>
        <w:suppressAutoHyphens/>
        <w:ind w:firstLine="567"/>
        <w:jc w:val="both"/>
        <w:rPr>
          <w:color w:val="000000"/>
          <w:spacing w:val="-6"/>
        </w:rPr>
      </w:pPr>
      <w:r>
        <w:rPr>
          <w:color w:val="000000"/>
          <w:spacing w:val="-6"/>
        </w:rPr>
        <w:t>13</w:t>
      </w:r>
      <w:r>
        <w:rPr>
          <w:color w:val="000000"/>
          <w:spacing w:val="-6"/>
        </w:rPr>
        <w:t>. Jei įstaigoje vaikų ugdymas vykdomas ilgiau nei 4 val., turi būti organizuojamas vaikų maitinimas ir poilsis tam skirtose patalpose</w:t>
      </w:r>
      <w:r>
        <w:rPr>
          <w:color w:val="000000"/>
          <w:spacing w:val="-6"/>
        </w:rPr>
        <w:t xml:space="preserve"> ir (ar) pritaikytose erdvėse.</w:t>
      </w:r>
    </w:p>
    <w:p w14:paraId="46251FF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14</w:t>
      </w:r>
      <w:r>
        <w:rPr>
          <w:color w:val="000000"/>
        </w:rPr>
        <w:t>. Kiekvienoje įstaigos grupėje turi būti įmonės pirmosios pagalbos rinkinys. Rinkinio sudėtis ir apimtis turi atitikti teisės akto [4.8] reikalavimus. Už pirmosios pagalbos rinkinio priežiūrą ir jo papildymą turi būti p</w:t>
      </w:r>
      <w:r>
        <w:rPr>
          <w:color w:val="000000"/>
        </w:rPr>
        <w:t>askirtas atsakingas asmuo.</w:t>
      </w:r>
    </w:p>
    <w:p w14:paraId="46251FF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15</w:t>
      </w:r>
      <w:r>
        <w:rPr>
          <w:color w:val="000000"/>
        </w:rPr>
        <w:t>. Įstaigos darbuotojai turi tikrintis sveikatą teisės aktų [4.2, 4.5] nustatyta tvarka.</w:t>
      </w:r>
    </w:p>
    <w:p w14:paraId="46251FF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16</w:t>
      </w:r>
      <w:r>
        <w:rPr>
          <w:color w:val="000000"/>
        </w:rPr>
        <w:t xml:space="preserve">. Įstaigos darbuotojai gali dirbti tik teisės akto [4.17] nustatyta tvarka įgiję žinių higienos, o pedagoginiai darbuotojai – ir </w:t>
      </w:r>
      <w:r>
        <w:rPr>
          <w:color w:val="000000"/>
        </w:rPr>
        <w:t>pirmosios pagalbos teikimo klausimais.</w:t>
      </w:r>
    </w:p>
    <w:p w14:paraId="46251FFE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17</w:t>
      </w:r>
      <w:r>
        <w:rPr>
          <w:color w:val="000000"/>
        </w:rPr>
        <w:t>. Asmens medicinines knygeles (forma Nr. F-048/a [4.4]) ir sveikatos žinių pažymėjimus darbuotojai turi laikyti darbovietėje pas vadovo paskirtą atsakingą asmenį.</w:t>
      </w:r>
    </w:p>
    <w:p w14:paraId="46251FF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3"/>
        </w:rPr>
        <w:t>18</w:t>
      </w:r>
      <w:r>
        <w:rPr>
          <w:color w:val="000000"/>
          <w:spacing w:val="-3"/>
        </w:rPr>
        <w:t xml:space="preserve">. Ant įstaigos pastato stogo draudžiama </w:t>
      </w:r>
      <w:r>
        <w:rPr>
          <w:color w:val="000000"/>
          <w:spacing w:val="-3"/>
        </w:rPr>
        <w:t>įrengti judriojo radijo ryšio sistemų bazines stotis ar jų dalis, išskyrus atvejus, kai kiti teisės aktai nustato kitaip.</w:t>
      </w:r>
    </w:p>
    <w:p w14:paraId="4625200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01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IV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sklypas / TERITORIJA</w:t>
      </w:r>
    </w:p>
    <w:p w14:paraId="46252002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0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19</w:t>
      </w:r>
      <w:r>
        <w:rPr>
          <w:color w:val="000000"/>
        </w:rPr>
        <w:t>. Naujai statomų įstaigų sklypo / teritorijos dydis nustatomas atsižvelgiant į planuojamą vaikų</w:t>
      </w:r>
      <w:r>
        <w:rPr>
          <w:color w:val="000000"/>
        </w:rPr>
        <w:t xml:space="preserve"> skaičių. Minimali neužstatyta sklypo / teritorijos dalis, skirta vaikų žaidimo aikštelėms, turi būti ne mažesnė kaip po 6 kv. m ploto vienam vaikui.</w:t>
      </w:r>
    </w:p>
    <w:p w14:paraId="4625200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20</w:t>
      </w:r>
      <w:r>
        <w:rPr>
          <w:color w:val="000000"/>
        </w:rPr>
        <w:t>. Įstaiga, ugdanti iki 50 vaikų, gali naudotis kita vaikų žaidimui tinkančia erdve. Tokiu atveju tur</w:t>
      </w:r>
      <w:r>
        <w:rPr>
          <w:color w:val="000000"/>
        </w:rPr>
        <w:t>i būti numatytas saugus vaikų nuvykimas, buvimas toje erdvėje ir grįžimas į įstaigą.</w:t>
      </w:r>
    </w:p>
    <w:p w14:paraId="4625200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21</w:t>
      </w:r>
      <w:r>
        <w:rPr>
          <w:color w:val="000000"/>
        </w:rPr>
        <w:t>. Draudžiama mažinti veikiančios įstaigos sklypo / teritorijos dydį.</w:t>
      </w:r>
    </w:p>
    <w:p w14:paraId="4625200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22</w:t>
      </w:r>
      <w:r>
        <w:rPr>
          <w:color w:val="000000"/>
        </w:rPr>
        <w:t>. Įstaigos sklypas / teritorija turi būti aptverta ne žemesne kaip 1,5 m aukščio tvora. Įs</w:t>
      </w:r>
      <w:r>
        <w:rPr>
          <w:color w:val="000000"/>
        </w:rPr>
        <w:t>taigos sklypas / teritorija turi būti sistemingai valomas. Draudžiama sodinti ir auginti 1 priede nurodytus nuodingus augalus.</w:t>
      </w:r>
    </w:p>
    <w:p w14:paraId="4625200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23</w:t>
      </w:r>
      <w:r>
        <w:rPr>
          <w:color w:val="000000"/>
        </w:rPr>
        <w:t>. Visi sklype / teritorijoje esantys įrenginiai turi būti saugūs, t. y. patikimai pritvirtinti, išdėstyti saugiu atstumu, t</w:t>
      </w:r>
      <w:r>
        <w:rPr>
          <w:color w:val="000000"/>
        </w:rPr>
        <w:t>uri atitikti vaikų amžių ir ūgį, ugdymo poreikius.</w:t>
      </w:r>
    </w:p>
    <w:p w14:paraId="4625200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24</w:t>
      </w:r>
      <w:r>
        <w:rPr>
          <w:color w:val="000000"/>
        </w:rPr>
        <w:t>. Žaidimo aikštelėse turi būti sudaryta galimybė apsaugoti vaikus nuo tiesioginių saulės spindulių ir kritulių.</w:t>
      </w:r>
    </w:p>
    <w:p w14:paraId="4625200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25</w:t>
      </w:r>
      <w:r>
        <w:rPr>
          <w:color w:val="000000"/>
        </w:rPr>
        <w:t>. Žaidimų aikštelės, atsižvelgiant į žaidimų pobūdį, turi būti padengtos saugia d</w:t>
      </w:r>
      <w:r>
        <w:rPr>
          <w:color w:val="000000"/>
        </w:rPr>
        <w:t>anga.</w:t>
      </w:r>
    </w:p>
    <w:p w14:paraId="4625200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26</w:t>
      </w:r>
      <w:r>
        <w:rPr>
          <w:color w:val="000000"/>
        </w:rPr>
        <w:t>. Ūkinėms reikmėms skirtoje aikštelėje turi būti įrengta buitinių atliekų konteineriams skirta vieta su kieta danga ir pastoge, dengiančia konteinerius nuo kritulių. Ji turi būti aptverta ne žemesniu kaip 1,2 m aukščio aptvaru iš trijų pusių. K</w:t>
      </w:r>
      <w:r>
        <w:rPr>
          <w:color w:val="000000"/>
        </w:rPr>
        <w:t>onteineriai turi būti su sandariai uždaromais dangčiais. Savivaldybės nustatyta tvarka buitinėms atliekoms tvarkyti gali būti naudojami ir kiti saugūs įrenginiai ir atliekų tvarkymo būdai.</w:t>
      </w:r>
    </w:p>
    <w:p w14:paraId="4625200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27</w:t>
      </w:r>
      <w:r>
        <w:rPr>
          <w:color w:val="000000"/>
        </w:rPr>
        <w:t>. Tamsiu paros metu įstaigos darbo laiku įėjimas į pastatą ar</w:t>
      </w:r>
      <w:r>
        <w:rPr>
          <w:color w:val="000000"/>
        </w:rPr>
        <w:t xml:space="preserve"> patalpas turi būti apšviestas.</w:t>
      </w:r>
    </w:p>
    <w:p w14:paraId="4625200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0D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V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PATALPOS IR JŲ ĮRENGIMAS</w:t>
      </w:r>
    </w:p>
    <w:p w14:paraId="4625200E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0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28</w:t>
      </w:r>
      <w:r>
        <w:rPr>
          <w:color w:val="000000"/>
        </w:rPr>
        <w:t>. Įstaigos patalpose gali būti organizuojamas neformalusis suaugusiųjų švietimas ir bendruomenės kultūriniai renginiai, kurie turi būti organizuoti taip, kad vaikai būtų apsaugoti nu</w:t>
      </w:r>
      <w:r>
        <w:rPr>
          <w:color w:val="000000"/>
        </w:rPr>
        <w:t>o neigiamų veiksnių, galinčių turėti įtakos vaikų ugdymui, saugai ir sveikatai.</w:t>
      </w:r>
    </w:p>
    <w:p w14:paraId="4625201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29</w:t>
      </w:r>
      <w:r>
        <w:rPr>
          <w:color w:val="000000"/>
        </w:rPr>
        <w:t>. Laiptai, laiptų aikštelės turi būti įrengtos taip, kad būtų užtikrinta vaikų sauga.</w:t>
      </w:r>
    </w:p>
    <w:p w14:paraId="4625201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30</w:t>
      </w:r>
      <w:r>
        <w:rPr>
          <w:color w:val="000000"/>
        </w:rPr>
        <w:t>. Įstiklintos durų dalys iš abiejų pusių turi būti apsaugotos nuo atsitiktinio</w:t>
      </w:r>
      <w:r>
        <w:rPr>
          <w:color w:val="000000"/>
        </w:rPr>
        <w:t xml:space="preserve"> susidūrimo, atsitrenkimo, smūgių ir susižalojimo rizikos.</w:t>
      </w:r>
    </w:p>
    <w:p w14:paraId="4625201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31</w:t>
      </w:r>
      <w:r>
        <w:rPr>
          <w:color w:val="000000"/>
        </w:rPr>
        <w:t>. Iki 3 metų amžiaus vaikų grupių patalpos įrengiamos pirmame aukšte su atskiru išėjimu į lauką.</w:t>
      </w:r>
    </w:p>
    <w:p w14:paraId="4625201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32</w:t>
      </w:r>
      <w:r>
        <w:rPr>
          <w:color w:val="000000"/>
        </w:rPr>
        <w:t>. Įstaigoje turi būti šios patalpos / erdvės:</w:t>
      </w:r>
    </w:p>
    <w:p w14:paraId="4625201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32.1</w:t>
      </w:r>
      <w:r>
        <w:rPr>
          <w:color w:val="000000"/>
        </w:rPr>
        <w:t xml:space="preserve">. iki 1 metų vaikų grupėse: </w:t>
      </w:r>
      <w:r>
        <w:rPr>
          <w:color w:val="000000"/>
        </w:rPr>
        <w:t>priėmimo-nusirengimo, žaidimų, miegamojo, tualeto-prausyklos, virtuvėlės;</w:t>
      </w:r>
    </w:p>
    <w:p w14:paraId="4625201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32.2</w:t>
      </w:r>
      <w:r>
        <w:rPr>
          <w:color w:val="000000"/>
        </w:rPr>
        <w:t>. nuo 1 iki 7 metų vaikų grupėse: priėmimo-nusirengimo, žaidimų-miegamojo / poilsio, tualeto-prausyklos.</w:t>
      </w:r>
    </w:p>
    <w:p w14:paraId="4625201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33</w:t>
      </w:r>
      <w:r>
        <w:rPr>
          <w:color w:val="000000"/>
        </w:rPr>
        <w:t>. Įrengiant patalpas / erdves ir komplektuojant grupes, viena</w:t>
      </w:r>
      <w:r>
        <w:rPr>
          <w:color w:val="000000"/>
        </w:rPr>
        <w:t>m vaikui iki 3 metų grupėje turi būti numatytas ne mažesnis kaip 4,3 kv. m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plotas, 3–7 metų grupėje – 4 kv. m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plotas, o specialiųjų poreikių turinčiam vaikui – 5 kv. m (neįskaičiuojamos tualeto-prausyklos ir virtuvėlės patalpos / erdvės).</w:t>
      </w:r>
    </w:p>
    <w:p w14:paraId="4625201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34</w:t>
      </w:r>
      <w:r>
        <w:rPr>
          <w:color w:val="000000"/>
        </w:rPr>
        <w:t>. Vaikams n</w:t>
      </w:r>
      <w:r>
        <w:rPr>
          <w:color w:val="000000"/>
        </w:rPr>
        <w:t>uo 1,5 iki 7 metų gali būti įrengiama bendra valgymo salė. Vienam vaikui valgymo salėje turi būti skiriama ne mažiau kaip 1 kv. m ploto. Turi būti numatyta vieta grupių indams laikyti ir indų plovimo patalpa / erdvė.</w:t>
      </w:r>
    </w:p>
    <w:p w14:paraId="4625201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35</w:t>
      </w:r>
      <w:r>
        <w:rPr>
          <w:color w:val="000000"/>
        </w:rPr>
        <w:t>. Naminiai gyvūnai laikomi tik at</w:t>
      </w:r>
      <w:r>
        <w:rPr>
          <w:color w:val="000000"/>
        </w:rPr>
        <w:t>skiroje patalpoje, išskyrus akvariumus su žuvytėmis, kurie saugiai įrengti gali būti laikomi ir vaikų ugdymo patalpose. Laikomi gyvūnai turi būti sveiki, saugūs vaikams ir suaugusiesiems, lengvai prižiūrimi.</w:t>
      </w:r>
    </w:p>
    <w:p w14:paraId="4625201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36</w:t>
      </w:r>
      <w:r>
        <w:rPr>
          <w:color w:val="000000"/>
        </w:rPr>
        <w:t>. Skalbykloje turi būti šios patalpos /erd</w:t>
      </w:r>
      <w:r>
        <w:rPr>
          <w:color w:val="000000"/>
        </w:rPr>
        <w:t>vės: nešvarių skalbinių priėmimo, skalbimo, lyginimo, džiovinimo, švarių skalbinių laikymo ir išdavimo.</w:t>
      </w:r>
    </w:p>
    <w:p w14:paraId="4625201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37</w:t>
      </w:r>
      <w:r>
        <w:rPr>
          <w:color w:val="000000"/>
        </w:rPr>
        <w:t>. Skalbyklų patalpos ir technologiniai įrenginiai turi būti išdėstyti taip, kad švarių ir nešvarių skalbinių srautai technologinio proceso metu ne</w:t>
      </w:r>
      <w:r>
        <w:rPr>
          <w:color w:val="000000"/>
        </w:rPr>
        <w:t>susisiektų. Įstaigoje, kurioje nėra skalbyklos, turi būti speciali vieta nešvariems skalbiniams rinkti ir rūšiuoti.</w:t>
      </w:r>
    </w:p>
    <w:p w14:paraId="4625201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38</w:t>
      </w:r>
      <w:r>
        <w:rPr>
          <w:color w:val="000000"/>
        </w:rPr>
        <w:t>. Triukšmas įstaigos patalpose neturi viršyti teisės akte [4.15] nurodytų lygių.</w:t>
      </w:r>
    </w:p>
    <w:p w14:paraId="4625201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39</w:t>
      </w:r>
      <w:r>
        <w:rPr>
          <w:color w:val="000000"/>
        </w:rPr>
        <w:t>. Įstaigoje visi įrenginiai ir baldai turi būti</w:t>
      </w:r>
      <w:r>
        <w:rPr>
          <w:color w:val="000000"/>
        </w:rPr>
        <w:t xml:space="preserve"> saugūs, tvarkingi, pritaikyti vaikams pagal jų ūgį, amžiaus ypatumus.</w:t>
      </w:r>
    </w:p>
    <w:p w14:paraId="4625201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40</w:t>
      </w:r>
      <w:r>
        <w:rPr>
          <w:color w:val="000000"/>
        </w:rPr>
        <w:t>. Specialiųjų poreikių vaikai, kurių galimybės ugdytis ir dalyvauti visuomenės gyvenime yra ribotos dėl įgimtų ir įgytų sutrikimų, ugdomi jiems pritaikytoje aplinkoje:</w:t>
      </w:r>
    </w:p>
    <w:p w14:paraId="4625201E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2"/>
        </w:rPr>
        <w:t>40.1</w:t>
      </w:r>
      <w:r>
        <w:rPr>
          <w:color w:val="000000"/>
          <w:spacing w:val="-2"/>
        </w:rPr>
        <w:t>. sut</w:t>
      </w:r>
      <w:r>
        <w:rPr>
          <w:color w:val="000000"/>
          <w:spacing w:val="-2"/>
        </w:rPr>
        <w:t>rikusios klausos vaikai turi sėdėti prie vienviečių stalų, sustatytų puslankiu prieš pedagogo stalą, jiems turi būti įrengta šviesos signalizacija / skambučiai;</w:t>
      </w:r>
    </w:p>
    <w:p w14:paraId="4625201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40.2</w:t>
      </w:r>
      <w:r>
        <w:rPr>
          <w:color w:val="000000"/>
        </w:rPr>
        <w:t>. sutrikusio regėjimo vaikai turi turėti vienvietį stalą, pritaikytą piešimo/rašymo pri</w:t>
      </w:r>
      <w:r>
        <w:rPr>
          <w:color w:val="000000"/>
        </w:rPr>
        <w:t>emonėms laikyti.</w:t>
      </w:r>
    </w:p>
    <w:p w14:paraId="4625202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41</w:t>
      </w:r>
      <w:r>
        <w:rPr>
          <w:color w:val="000000"/>
        </w:rPr>
        <w:t>. Elektros lizdai ugdymo patalpose vaikams prieinamose vietose turi būti uždengti specialiomis apsaugos priemonėmis.</w:t>
      </w:r>
    </w:p>
    <w:p w14:paraId="4625202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42</w:t>
      </w:r>
      <w:r>
        <w:rPr>
          <w:color w:val="000000"/>
        </w:rPr>
        <w:t>. Vaikų ugdymo patalpose langai turi turėti langų atidarymo ribotuvus.</w:t>
      </w:r>
    </w:p>
    <w:p w14:paraId="4625202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43</w:t>
      </w:r>
      <w:r>
        <w:rPr>
          <w:color w:val="000000"/>
        </w:rPr>
        <w:t>. Vaikų priėmimo-nusirengimo pa</w:t>
      </w:r>
      <w:r>
        <w:rPr>
          <w:color w:val="000000"/>
        </w:rPr>
        <w:t>talpoje turi būti įrengtos individualios spintelės ar kitokie įrenginiai vaikų drabužiams ir asmeniniams daiktams.</w:t>
      </w:r>
    </w:p>
    <w:p w14:paraId="4625202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4"/>
        </w:rPr>
        <w:t>44</w:t>
      </w:r>
      <w:r>
        <w:rPr>
          <w:color w:val="000000"/>
          <w:spacing w:val="-4"/>
        </w:rPr>
        <w:t xml:space="preserve">. Jei įstaigoje vaikai maitinami grupėje, turi būti įrengta patalpa / erdvė su plautuve grupių indams plauti, indų džiovykla ir spinta </w:t>
      </w:r>
      <w:r>
        <w:rPr>
          <w:color w:val="000000"/>
          <w:spacing w:val="-4"/>
        </w:rPr>
        <w:t>švariems indams laikyti.</w:t>
      </w:r>
    </w:p>
    <w:p w14:paraId="4625202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3"/>
        </w:rPr>
        <w:t>45</w:t>
      </w:r>
      <w:r>
        <w:rPr>
          <w:color w:val="000000"/>
          <w:spacing w:val="-3"/>
        </w:rPr>
        <w:t>. Vaikai gali miegoti jų ūgį atitinkančiose lovose kietu pagrindu arba ant jų ūgį atitinkančių čiužinių, kurių aukštis turi būti ne mažesnis kaip 7 cm. Atsižvelgiant į vaiko amžių ir lovos aukštį, įrengiamos saugos priemonės,</w:t>
      </w:r>
      <w:r>
        <w:rPr>
          <w:color w:val="000000"/>
          <w:spacing w:val="-3"/>
        </w:rPr>
        <w:t xml:space="preserve"> kad vaikas neiškristų. Iki 1,5 metų amžiaus vaikams skirtos lovos turi būti su sienelėmis:</w:t>
      </w:r>
    </w:p>
    <w:p w14:paraId="4625202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45.1</w:t>
      </w:r>
      <w:r>
        <w:rPr>
          <w:color w:val="000000"/>
        </w:rPr>
        <w:t>. lovų ar čiužinių turi būti tiek, kiek grupėje yra pietų miegą miegančių vaikų;</w:t>
      </w:r>
    </w:p>
    <w:p w14:paraId="4625202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45.2</w:t>
      </w:r>
      <w:r>
        <w:rPr>
          <w:color w:val="000000"/>
        </w:rPr>
        <w:t>. lovos ar čiužiniai turi būti sustatyti taip, kad būtų galima laisva</w:t>
      </w:r>
      <w:r>
        <w:rPr>
          <w:color w:val="000000"/>
        </w:rPr>
        <w:t>i prieiti prie kiekvieno vaiko;</w:t>
      </w:r>
    </w:p>
    <w:p w14:paraId="4625202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45.3</w:t>
      </w:r>
      <w:r>
        <w:rPr>
          <w:color w:val="000000"/>
        </w:rPr>
        <w:t>. kiekvieno vaiko lova ar čiužinys ar patalynė ženklinami tuo pačiu ženklu ar numeriu kaip ir vaiko rankšluostinė ar rankšluostis.</w:t>
      </w:r>
    </w:p>
    <w:p w14:paraId="4625202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46</w:t>
      </w:r>
      <w:r>
        <w:rPr>
          <w:color w:val="000000"/>
        </w:rPr>
        <w:t>. Naujai statomų ir rekonstruojamų įstaigų sanitarinių įrenginių skaičius pri</w:t>
      </w:r>
      <w:r>
        <w:rPr>
          <w:color w:val="000000"/>
        </w:rPr>
        <w:t>klauso nuo vaikų skaičiaus, tačiau turi būti ne mažesnis kaip 1 unitazas septyniems vaikams, 1 praustuvė penkiems vaikams, 1 pusvonė su lanksčiu dušo rageliu vienai vaikų grupei.</w:t>
      </w:r>
    </w:p>
    <w:p w14:paraId="4625202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47</w:t>
      </w:r>
      <w:r>
        <w:rPr>
          <w:color w:val="000000"/>
        </w:rPr>
        <w:t>. Jeigu naudojami naktipuodžiai, tualetuose-prausyklose turi būti sąlyg</w:t>
      </w:r>
      <w:r>
        <w:rPr>
          <w:color w:val="000000"/>
        </w:rPr>
        <w:t>os naktipuodžiams plauti. Kiekvieno vaiko naktipuodis ženklinamas tuo pačiu ženklu kaip ir vaiko rankšluostinė ar rankšluostis.</w:t>
      </w:r>
    </w:p>
    <w:p w14:paraId="4625202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48</w:t>
      </w:r>
      <w:r>
        <w:rPr>
          <w:color w:val="000000"/>
        </w:rPr>
        <w:t>. Tualetuose-prausyklose turi būti pakankamas kiekis asmens higienos priemonių.</w:t>
      </w:r>
    </w:p>
    <w:p w14:paraId="4625202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49</w:t>
      </w:r>
      <w:r>
        <w:rPr>
          <w:color w:val="000000"/>
        </w:rPr>
        <w:t>. Praustuvės įrengiamos tokiame aukš</w:t>
      </w:r>
      <w:r>
        <w:rPr>
          <w:color w:val="000000"/>
        </w:rPr>
        <w:t>tyje, kad skirtingo amžiaus vaikai galėtų patogiai ir saugiai jomis naudotis.</w:t>
      </w:r>
    </w:p>
    <w:p w14:paraId="4625202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50</w:t>
      </w:r>
      <w:r>
        <w:rPr>
          <w:color w:val="000000"/>
        </w:rPr>
        <w:t>. Vaikams unitazai įrengiami ne mažesnėse kaip 0,6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kv. m kabinose. Tarp kabinų turi būti ne žemesnė kaip 1,2 m aukščio pertvara su 0,15 m tarpu nuo grindų.</w:t>
      </w:r>
    </w:p>
    <w:p w14:paraId="4625202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51</w:t>
      </w:r>
      <w:r>
        <w:rPr>
          <w:color w:val="000000"/>
        </w:rPr>
        <w:t>. Tualetai</w:t>
      </w:r>
      <w:r>
        <w:rPr>
          <w:color w:val="000000"/>
        </w:rPr>
        <w:t xml:space="preserve"> darbuotojams įrengiami ne grupės tualeto-prausyklos patalpose.</w:t>
      </w:r>
    </w:p>
    <w:p w14:paraId="4625202E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52</w:t>
      </w:r>
      <w:r>
        <w:rPr>
          <w:color w:val="000000"/>
        </w:rPr>
        <w:t>. Visi sanitariniai įrenginiai turi būti veikiantys ir techniškai tvarkingi. Draudžiama mažinti veikiančiose įstaigose įrengtų sanitarinių įrenginių skaičių ir palikti šių įrenginių maži</w:t>
      </w:r>
      <w:r>
        <w:rPr>
          <w:color w:val="000000"/>
        </w:rPr>
        <w:t>au, nei nurodyta 46 punkte.</w:t>
      </w:r>
    </w:p>
    <w:p w14:paraId="4625202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53</w:t>
      </w:r>
      <w:r>
        <w:rPr>
          <w:color w:val="000000"/>
        </w:rPr>
        <w:t>. Techninės priemonės (kompiuteriai, televizoriai) gali būti naudojamos ugdant 3 m. ir vyresnius vaikus:</w:t>
      </w:r>
    </w:p>
    <w:p w14:paraId="4625203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53.1</w:t>
      </w:r>
      <w:r>
        <w:rPr>
          <w:color w:val="000000"/>
        </w:rPr>
        <w:t>. visa kompiuterinė įranga turi būti saugi ir nepavojinga sveikatai;</w:t>
      </w:r>
    </w:p>
    <w:p w14:paraId="4625203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53.2</w:t>
      </w:r>
      <w:r>
        <w:rPr>
          <w:color w:val="000000"/>
        </w:rPr>
        <w:t>. atstumas nuo vieno vaizduoklio e</w:t>
      </w:r>
      <w:r>
        <w:rPr>
          <w:color w:val="000000"/>
        </w:rPr>
        <w:t>krano iki kito vaizduoklio užpakalinio paviršiaus turi būti ne mažesnis kaip 2 m, o tarp šoninių paviršių – ne mažesnis kaip 1,2 m;</w:t>
      </w:r>
    </w:p>
    <w:p w14:paraId="4625203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4"/>
        </w:rPr>
        <w:t>53.3</w:t>
      </w:r>
      <w:r>
        <w:rPr>
          <w:color w:val="000000"/>
          <w:spacing w:val="-4"/>
        </w:rPr>
        <w:t>. kompiuterizuota vieta turi būti įrengta taip, kad vaikas galėtų laisvai prie jos prieiti, turėtų pakankamai erdvės</w:t>
      </w:r>
      <w:r>
        <w:rPr>
          <w:color w:val="000000"/>
          <w:spacing w:val="-4"/>
        </w:rPr>
        <w:t xml:space="preserve"> judesiams atlikti bei kūno padėčiai keisti;</w:t>
      </w:r>
    </w:p>
    <w:p w14:paraId="4625203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53.4</w:t>
      </w:r>
      <w:r>
        <w:rPr>
          <w:color w:val="000000"/>
        </w:rPr>
        <w:t>. prie vieno vaizduoklio gali sėdėti ne daugiau kaip vienas vaikas;</w:t>
      </w:r>
    </w:p>
    <w:p w14:paraId="4625203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3"/>
        </w:rPr>
        <w:t>53.5</w:t>
      </w:r>
      <w:r>
        <w:rPr>
          <w:color w:val="000000"/>
          <w:spacing w:val="-3"/>
        </w:rPr>
        <w:t xml:space="preserve">. atstumas nuo vaizduoklio ekrano iki vaiko akių turi būti ne mažesnis kaip 0,4 m, akių žiūrėjimo linija su ekrano plokštuma </w:t>
      </w:r>
      <w:r>
        <w:rPr>
          <w:color w:val="000000"/>
          <w:spacing w:val="-3"/>
        </w:rPr>
        <w:t>turi sudaryti statų kampą;</w:t>
      </w:r>
    </w:p>
    <w:p w14:paraId="4625203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53.6</w:t>
      </w:r>
      <w:r>
        <w:rPr>
          <w:color w:val="000000"/>
        </w:rPr>
        <w:t>. vaizdas ekrane turi būti ryškus, nejudėti, nespindėti, nemirgėti, būti be vaiką varginančių šešėlių ir atspindžių. Šviesos šaltiniai turi neakinti, neatsispindėti ekrane;</w:t>
      </w:r>
    </w:p>
    <w:p w14:paraId="4625203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4"/>
        </w:rPr>
        <w:t>53.7</w:t>
      </w:r>
      <w:r>
        <w:rPr>
          <w:color w:val="000000"/>
          <w:spacing w:val="-4"/>
        </w:rPr>
        <w:t>. kompiuteriams prijungti turi būti atsk</w:t>
      </w:r>
      <w:r>
        <w:rPr>
          <w:color w:val="000000"/>
          <w:spacing w:val="-4"/>
        </w:rPr>
        <w:t>ira trilaidė maitinimo linija su atskiru įžeminimo laidu. Laidai turi būti izoliuoti ir apdengti apsauginiais loveliais;</w:t>
      </w:r>
    </w:p>
    <w:p w14:paraId="4625203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53.8</w:t>
      </w:r>
      <w:r>
        <w:rPr>
          <w:color w:val="000000"/>
        </w:rPr>
        <w:t>. elektromagnetinio lauko lygis, jonizuojančioji spinduliuotė turi atitikti visuomenės sveikatos priežiūros teisės akto [4.3] r</w:t>
      </w:r>
      <w:r>
        <w:rPr>
          <w:color w:val="000000"/>
        </w:rPr>
        <w:t>eikalavimus;</w:t>
      </w:r>
    </w:p>
    <w:p w14:paraId="4625203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53.9</w:t>
      </w:r>
      <w:r>
        <w:rPr>
          <w:color w:val="000000"/>
        </w:rPr>
        <w:t>. televizoriaus ekrano įstrižainė turi būti ne mažesnė kaip 59 cm. Atstumas nuo ekrano iki arčiausiai sėdinčių vaikų turi būti ne mažesnis kaip 2 m.</w:t>
      </w:r>
    </w:p>
    <w:p w14:paraId="4625203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54</w:t>
      </w:r>
      <w:r>
        <w:rPr>
          <w:color w:val="000000"/>
        </w:rPr>
        <w:t>. Visų įstaigos patalpų grindys, sienos, tualetų kabinos ir lentynos turi būti</w:t>
      </w:r>
      <w:r>
        <w:rPr>
          <w:color w:val="000000"/>
        </w:rPr>
        <w:t xml:space="preserve"> lygios, o jų apdaila lengvai valoma drėgnu būdu ir atspari valymo priemonėms.</w:t>
      </w:r>
    </w:p>
    <w:p w14:paraId="4625203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55</w:t>
      </w:r>
      <w:r>
        <w:rPr>
          <w:color w:val="000000"/>
        </w:rPr>
        <w:t>. Įstaigose, kuriose yra vaikų su regėjimo sutrikimais, laiptai, turėklai, grindų danga, durų, durų rankenų, išsikišusių kambario detalių, baldų ir kitų įrenginių spalva t</w:t>
      </w:r>
      <w:r>
        <w:rPr>
          <w:color w:val="000000"/>
        </w:rPr>
        <w:t>uri būti kontrastinga sienų spalvai.</w:t>
      </w:r>
    </w:p>
    <w:p w14:paraId="4625203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3C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VI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ŠILDYMAS IR VĖDINIMAS</w:t>
      </w:r>
    </w:p>
    <w:p w14:paraId="4625203D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3E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56</w:t>
      </w:r>
      <w:r>
        <w:rPr>
          <w:color w:val="000000"/>
        </w:rPr>
        <w:t>. Naujai statant ir rekonstruojant įstaigos pastatą ir įrengiant patalpas turi būti suprojektuotos ir įrengtos tokios mikroklimato bei oro kokybės parametrus palaikančios ir regul</w:t>
      </w:r>
      <w:r>
        <w:rPr>
          <w:color w:val="000000"/>
        </w:rPr>
        <w:t>iuojančios šildymo, vėdinimo ir (ar) oro kondicionavimo sistemos, kad visose patalpose būtų galima palaikyti šios higienos normos bei teisės akto [4.14] nustatytus mikroklimato ir oro kokybės parametrus.</w:t>
      </w:r>
    </w:p>
    <w:p w14:paraId="4625203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57</w:t>
      </w:r>
      <w:r>
        <w:rPr>
          <w:color w:val="000000"/>
        </w:rPr>
        <w:t>. Šildymo prietaisai ir įrenginiai turi būti s</w:t>
      </w:r>
      <w:r>
        <w:rPr>
          <w:color w:val="000000"/>
        </w:rPr>
        <w:t>augūs, prieinami valyti, aštrios briaunos apsaugotos nuimamomis grotelėmis. Draudžiama tam tikslui naudoti medžio drožlių plokštes.</w:t>
      </w:r>
    </w:p>
    <w:p w14:paraId="4625204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58</w:t>
      </w:r>
      <w:r>
        <w:rPr>
          <w:color w:val="000000"/>
        </w:rPr>
        <w:t>. Temperatūra patalpose šaltuoju metų laikotarpiu turi atitikti dydžius, nurodytus šios higienos normos 1 lentelėje.</w:t>
      </w:r>
    </w:p>
    <w:p w14:paraId="46252041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p w14:paraId="46252042" w14:textId="77777777" w:rsidR="003E176A" w:rsidRDefault="00B352F9">
      <w:pPr>
        <w:widowControl w:val="0"/>
        <w:suppressAutoHyphens/>
        <w:jc w:val="center"/>
        <w:rPr>
          <w:color w:val="000000"/>
        </w:rPr>
      </w:pPr>
      <w:r>
        <w:rPr>
          <w:color w:val="000000"/>
        </w:rPr>
        <w:t>1 lentelė. Kai kurių patalpų oro temperatūros parametrai šaltuoju metų laikotarpiu</w:t>
      </w:r>
    </w:p>
    <w:p w14:paraId="46252043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1"/>
        <w:gridCol w:w="4261"/>
      </w:tblGrid>
      <w:tr w:rsidR="003E176A" w14:paraId="46252046" w14:textId="77777777">
        <w:trPr>
          <w:trHeight w:val="20"/>
          <w:tblHeader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44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Patalpos pavadinimas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45" w14:textId="77777777" w:rsidR="003E176A" w:rsidRDefault="00B352F9">
            <w:pPr>
              <w:widowControl w:val="0"/>
              <w:suppressAutoHyphens/>
              <w:ind w:firstLine="567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Oro temperatūra, °C</w:t>
            </w:r>
          </w:p>
        </w:tc>
      </w:tr>
      <w:tr w:rsidR="003E176A" w14:paraId="46252049" w14:textId="77777777">
        <w:trPr>
          <w:trHeight w:val="60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47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Priėmimo-nusirengimo patalpa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48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20–23 </w:t>
            </w:r>
          </w:p>
        </w:tc>
      </w:tr>
      <w:tr w:rsidR="003E176A" w14:paraId="4625204C" w14:textId="77777777">
        <w:trPr>
          <w:trHeight w:val="60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4A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Žaidimų kambarys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4B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20–23 </w:t>
            </w:r>
          </w:p>
        </w:tc>
      </w:tr>
      <w:tr w:rsidR="003E176A" w14:paraId="4625204F" w14:textId="77777777">
        <w:trPr>
          <w:trHeight w:val="60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4D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Miegamasis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4E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18–22 </w:t>
            </w:r>
          </w:p>
        </w:tc>
      </w:tr>
      <w:tr w:rsidR="003E176A" w14:paraId="46252052" w14:textId="77777777">
        <w:trPr>
          <w:trHeight w:val="60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0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Tualetas-prausykla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1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19–23 </w:t>
            </w:r>
          </w:p>
        </w:tc>
      </w:tr>
      <w:tr w:rsidR="003E176A" w14:paraId="46252055" w14:textId="77777777">
        <w:trPr>
          <w:trHeight w:val="282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3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Kūno kultūros-muzikos salė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4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18–20 </w:t>
            </w:r>
          </w:p>
        </w:tc>
      </w:tr>
      <w:tr w:rsidR="003E176A" w14:paraId="46252058" w14:textId="77777777">
        <w:trPr>
          <w:trHeight w:val="60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6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Sveikatos kabinetas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7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20–23 </w:t>
            </w:r>
          </w:p>
        </w:tc>
      </w:tr>
      <w:tr w:rsidR="003E176A" w14:paraId="4625205B" w14:textId="77777777">
        <w:trPr>
          <w:trHeight w:val="60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9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Kompiuterinės įrangos patalpa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A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20–22 </w:t>
            </w:r>
          </w:p>
        </w:tc>
      </w:tr>
      <w:tr w:rsidR="003E176A" w14:paraId="4625205E" w14:textId="77777777">
        <w:trPr>
          <w:trHeight w:val="60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C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Koridoriai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D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18–21 </w:t>
            </w:r>
          </w:p>
        </w:tc>
      </w:tr>
      <w:tr w:rsidR="003E176A" w14:paraId="46252061" w14:textId="77777777">
        <w:trPr>
          <w:trHeight w:val="60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5F" w14:textId="77777777" w:rsidR="003E176A" w:rsidRDefault="00B352F9">
            <w:pPr>
              <w:widowControl w:val="0"/>
              <w:suppressAutoHyphens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Laiptinės 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60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18–21 </w:t>
            </w:r>
          </w:p>
        </w:tc>
      </w:tr>
    </w:tbl>
    <w:p w14:paraId="46252062" w14:textId="77777777" w:rsidR="003E176A" w:rsidRDefault="00B352F9">
      <w:pPr>
        <w:widowControl w:val="0"/>
        <w:suppressAutoHyphens/>
        <w:jc w:val="both"/>
        <w:rPr>
          <w:color w:val="000000"/>
        </w:rPr>
      </w:pPr>
    </w:p>
    <w:p w14:paraId="4625206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59</w:t>
      </w:r>
      <w:r>
        <w:rPr>
          <w:color w:val="000000"/>
        </w:rPr>
        <w:t xml:space="preserve">. Judesio ir padėties sutrikimų turinčių vaikų žaidimų kambariuose ir vaikų iki 1 metų grupių patalpose </w:t>
      </w:r>
      <w:r>
        <w:rPr>
          <w:color w:val="000000"/>
        </w:rPr>
        <w:t>šaltuoju metų laikotarpiu temperatūra turi būti 21–23 °C.</w:t>
      </w:r>
    </w:p>
    <w:p w14:paraId="4625206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60</w:t>
      </w:r>
      <w:r>
        <w:rPr>
          <w:color w:val="000000"/>
        </w:rPr>
        <w:t>. Vaikų ugdymo patalpose oro drėgnis turi būti 40–60 proc.</w:t>
      </w:r>
    </w:p>
    <w:p w14:paraId="4625206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61</w:t>
      </w:r>
      <w:r>
        <w:rPr>
          <w:color w:val="000000"/>
        </w:rPr>
        <w:t>. Oro judėjimo greitis šaltuoju metų laikotarpiu vaikų ugdymo patalpose, koridoriuose turi būti ne didesnis kaip 0,15 m/sek.</w:t>
      </w:r>
    </w:p>
    <w:p w14:paraId="4625206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62</w:t>
      </w:r>
      <w:r>
        <w:rPr>
          <w:color w:val="000000"/>
        </w:rPr>
        <w:t>. Grindų temperatūra šaltuoju metų laikotarpiu vaikų iki 3 metų ugdymo patalpose turi būti 18–26 °C.</w:t>
      </w:r>
    </w:p>
    <w:p w14:paraId="4625206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63</w:t>
      </w:r>
      <w:r>
        <w:rPr>
          <w:color w:val="000000"/>
        </w:rPr>
        <w:t>. Įstaigose turi būti numatytas natūralus ir mechaninis patalpų vėdinimas.</w:t>
      </w:r>
    </w:p>
    <w:p w14:paraId="4625206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63.1</w:t>
      </w:r>
      <w:r>
        <w:rPr>
          <w:color w:val="000000"/>
        </w:rPr>
        <w:t>. Įstaigose vaikų ugdymo patalpose natūralus vėdinimas turi būti</w:t>
      </w:r>
      <w:r>
        <w:rPr>
          <w:color w:val="000000"/>
        </w:rPr>
        <w:t xml:space="preserve"> užtikrinamas varstomais langais ir natūralios traukos kanalais.</w:t>
      </w:r>
    </w:p>
    <w:p w14:paraId="4625206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63.2</w:t>
      </w:r>
      <w:r>
        <w:rPr>
          <w:color w:val="000000"/>
        </w:rPr>
        <w:t>. Naujai statomų ir rekonstruojamų įstaigų vaikų ugdymo patalpose įrengiant langus su stiklo paketais turi būti įrengiamas mechaninis tiekiamasis-ištraukiamasis patalpų vėdinimas.</w:t>
      </w:r>
    </w:p>
    <w:p w14:paraId="4625206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</w:t>
      </w:r>
      <w:r>
        <w:rPr>
          <w:color w:val="000000"/>
        </w:rPr>
        <w:t>3.3</w:t>
      </w:r>
      <w:r>
        <w:rPr>
          <w:color w:val="000000"/>
        </w:rPr>
        <w:t>. Virtuvės patalpose turi būti įrengta tokia oro ištraukimo sistema, kuri apribotų garų, kvapų sklidimą į gretimas patalpas.</w:t>
      </w:r>
    </w:p>
    <w:p w14:paraId="4625206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63.4</w:t>
      </w:r>
      <w:r>
        <w:rPr>
          <w:color w:val="000000"/>
        </w:rPr>
        <w:t>. Grupių tualetuose-prausyklose, skalbyklose, virtuvės patalpose turi būti atskiri traukos kanalai.</w:t>
      </w:r>
    </w:p>
    <w:p w14:paraId="4625206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63.5</w:t>
      </w:r>
      <w:r>
        <w:rPr>
          <w:color w:val="000000"/>
        </w:rPr>
        <w:t>. Vėdinimo</w:t>
      </w:r>
      <w:r>
        <w:rPr>
          <w:color w:val="000000"/>
        </w:rPr>
        <w:t xml:space="preserve"> kanalai iš maisto tvarkymo patalpų neturi eiti per grupių patalpas.</w:t>
      </w:r>
    </w:p>
    <w:p w14:paraId="4625206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6E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VII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VANDENS TIEKIMAS IR NUOTEKOS</w:t>
      </w:r>
    </w:p>
    <w:p w14:paraId="4625206F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7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64</w:t>
      </w:r>
      <w:r>
        <w:rPr>
          <w:color w:val="000000"/>
        </w:rPr>
        <w:t>. Geriamojo vandens kokybė turi atitikti visuomenės sveikatos teisės akto [4.9] reikalavimus.</w:t>
      </w:r>
    </w:p>
    <w:p w14:paraId="4625207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65</w:t>
      </w:r>
      <w:r>
        <w:rPr>
          <w:color w:val="000000"/>
        </w:rPr>
        <w:t xml:space="preserve">. Karštas ir šaltas vanduo turi būti </w:t>
      </w:r>
      <w:r>
        <w:rPr>
          <w:color w:val="000000"/>
        </w:rPr>
        <w:t>nuolat tiekiamas virtuvės patalpose, skalbykloje, sveikatos, logopedo kabinetuose, vaikų iki 1 m. grupės žaidimų kambaryje, grupės indų plovykloje, visų grupių tualetuose-prausyklose, tualetuose, baseinuose, gyvūnų laikymo patalpoje.</w:t>
      </w:r>
    </w:p>
    <w:p w14:paraId="4625207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  <w:spacing w:val="-2"/>
        </w:rPr>
        <w:t>66</w:t>
      </w:r>
      <w:r>
        <w:rPr>
          <w:color w:val="000000"/>
          <w:spacing w:val="-2"/>
        </w:rPr>
        <w:t>. Karšto vandens</w:t>
      </w:r>
      <w:r>
        <w:rPr>
          <w:color w:val="000000"/>
          <w:spacing w:val="-2"/>
        </w:rPr>
        <w:t xml:space="preserve"> temperatūra tualetuose-prausyklose vaikams įrengtuose maišytuvuose turi būti ne žemesnė kaip 37°</w:t>
      </w:r>
      <w:r>
        <w:rPr>
          <w:color w:val="000000"/>
          <w:spacing w:val="-2"/>
          <w:vertAlign w:val="superscript"/>
        </w:rPr>
        <w:t xml:space="preserve"> </w:t>
      </w:r>
      <w:r>
        <w:rPr>
          <w:color w:val="000000"/>
          <w:spacing w:val="-2"/>
        </w:rPr>
        <w:t>C i</w:t>
      </w:r>
      <w:r>
        <w:rPr>
          <w:color w:val="000000"/>
        </w:rPr>
        <w:t>r ne aukštesnė kaip 42°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C.</w:t>
      </w:r>
    </w:p>
    <w:p w14:paraId="4625207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74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VIII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APŠVIETIMAS</w:t>
      </w:r>
    </w:p>
    <w:p w14:paraId="46252075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7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67</w:t>
      </w:r>
      <w:r>
        <w:rPr>
          <w:color w:val="000000"/>
        </w:rPr>
        <w:t>. Natūralus apšvietimas:</w:t>
      </w:r>
    </w:p>
    <w:p w14:paraId="4625207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67.1</w:t>
      </w:r>
      <w:r>
        <w:rPr>
          <w:color w:val="000000"/>
        </w:rPr>
        <w:t>. vaikų ugdymo patalpose turi būti tiesioginis natūralus apšvieti</w:t>
      </w:r>
      <w:r>
        <w:rPr>
          <w:color w:val="000000"/>
        </w:rPr>
        <w:t xml:space="preserve">mas. Natūralios apšvietos koeficiento vertė vaikų ugdymo patalpose turi būti ne mažesnė kaip 1,5 proc. </w:t>
      </w:r>
      <w:r>
        <w:rPr>
          <w:color w:val="000000"/>
        </w:rPr>
        <w:lastRenderedPageBreak/>
        <w:t>toliausiame nuo lango taške, o insoliacija – ne trumpesnė kaip 3 val.;</w:t>
      </w:r>
    </w:p>
    <w:p w14:paraId="4625207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67.2</w:t>
      </w:r>
      <w:r>
        <w:rPr>
          <w:color w:val="000000"/>
        </w:rPr>
        <w:t>. vaikų ugdymo patalpose turi būti įrengtos apsaugos nuo tiesioginių saulė</w:t>
      </w:r>
      <w:r>
        <w:rPr>
          <w:color w:val="000000"/>
        </w:rPr>
        <w:t>s spindulių priemonės.</w:t>
      </w:r>
    </w:p>
    <w:p w14:paraId="4625207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68</w:t>
      </w:r>
      <w:r>
        <w:rPr>
          <w:color w:val="000000"/>
        </w:rPr>
        <w:t>. Dirbtinis apšvietimas:</w:t>
      </w:r>
    </w:p>
    <w:p w14:paraId="4625207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68.1</w:t>
      </w:r>
      <w:r>
        <w:rPr>
          <w:color w:val="000000"/>
        </w:rPr>
        <w:t>. visose įstaigos patalpose turi būti įrengtas dirbtinis apšvietimas. Patalpų dirbtinės apšvietos mažiausios ribinės vertės pateiktos šios higienos normos 2 lentelėje;</w:t>
      </w:r>
    </w:p>
    <w:p w14:paraId="4625207B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p w14:paraId="4625207C" w14:textId="77777777" w:rsidR="003E176A" w:rsidRDefault="00B352F9">
      <w:pPr>
        <w:widowControl w:val="0"/>
        <w:suppressAutoHyphens/>
        <w:jc w:val="center"/>
        <w:rPr>
          <w:color w:val="000000"/>
        </w:rPr>
      </w:pPr>
      <w:r>
        <w:rPr>
          <w:color w:val="000000"/>
        </w:rPr>
        <w:t xml:space="preserve">2 lentelė. Kai kurių </w:t>
      </w:r>
      <w:r>
        <w:rPr>
          <w:color w:val="000000"/>
        </w:rPr>
        <w:t>patalpų dirbtinės apšvietos mažiausios ribinės vertės</w:t>
      </w:r>
    </w:p>
    <w:p w14:paraId="4625207D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6"/>
        <w:gridCol w:w="1736"/>
        <w:gridCol w:w="1195"/>
        <w:gridCol w:w="4150"/>
      </w:tblGrid>
      <w:tr w:rsidR="003E176A" w14:paraId="46252081" w14:textId="77777777">
        <w:trPr>
          <w:cantSplit/>
          <w:trHeight w:val="20"/>
          <w:tblHeader/>
        </w:trPr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7E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Patalpos pavadinimas </w:t>
            </w:r>
          </w:p>
        </w:tc>
        <w:tc>
          <w:tcPr>
            <w:tcW w:w="2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7F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Apšvieta, lx </w:t>
            </w:r>
          </w:p>
        </w:tc>
        <w:tc>
          <w:tcPr>
            <w:tcW w:w="4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0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Paviršius, kuriam taikoma apšvieta </w:t>
            </w:r>
          </w:p>
        </w:tc>
      </w:tr>
      <w:tr w:rsidR="003E176A" w14:paraId="46252086" w14:textId="77777777">
        <w:trPr>
          <w:cantSplit/>
          <w:trHeight w:val="20"/>
          <w:tblHeader/>
        </w:trPr>
        <w:tc>
          <w:tcPr>
            <w:tcW w:w="249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2082" w14:textId="77777777" w:rsidR="003E176A" w:rsidRDefault="003E176A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3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liuminescencinės lempos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4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kaitrinės lempos </w:t>
            </w:r>
          </w:p>
        </w:tc>
        <w:tc>
          <w:tcPr>
            <w:tcW w:w="415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2085" w14:textId="77777777" w:rsidR="003E176A" w:rsidRDefault="003E176A">
            <w:pPr>
              <w:widowControl w:val="0"/>
              <w:jc w:val="center"/>
              <w:rPr>
                <w:sz w:val="22"/>
              </w:rPr>
            </w:pPr>
          </w:p>
        </w:tc>
      </w:tr>
      <w:tr w:rsidR="003E176A" w14:paraId="4625208B" w14:textId="77777777">
        <w:trPr>
          <w:cantSplit/>
          <w:trHeight w:val="20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7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Žaidimų kambarys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8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300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9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150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A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Horizontalus paviršius 0,5 m aukštyje nuo grindų </w:t>
            </w:r>
          </w:p>
        </w:tc>
      </w:tr>
      <w:tr w:rsidR="003E176A" w14:paraId="46252090" w14:textId="77777777">
        <w:trPr>
          <w:cantSplit/>
          <w:trHeight w:val="20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C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Kūno kultūros-muzikos salė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D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200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E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100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8F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Horizontalus paviršius 0,5 m aukštyje nuo grindų </w:t>
            </w:r>
          </w:p>
        </w:tc>
      </w:tr>
      <w:tr w:rsidR="003E176A" w14:paraId="46252095" w14:textId="77777777">
        <w:trPr>
          <w:cantSplit/>
          <w:trHeight w:val="20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1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Priėmimo-nusirengimo patalpa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2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200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3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100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4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Horizontalus paviršius 0,8 m aukštyje nuo grindų </w:t>
            </w:r>
          </w:p>
        </w:tc>
      </w:tr>
      <w:tr w:rsidR="003E176A" w14:paraId="4625209A" w14:textId="77777777">
        <w:trPr>
          <w:cantSplit/>
          <w:trHeight w:val="20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6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Miegamasis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7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75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8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30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9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Horizontalus paviršius 0,5 m aukštyje nuo grindų </w:t>
            </w:r>
          </w:p>
        </w:tc>
      </w:tr>
      <w:tr w:rsidR="003E176A" w14:paraId="4625209F" w14:textId="77777777">
        <w:trPr>
          <w:cantSplit/>
          <w:trHeight w:val="20"/>
        </w:trPr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B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Kompi</w:t>
            </w:r>
            <w:r>
              <w:rPr>
                <w:color w:val="000000"/>
                <w:sz w:val="22"/>
              </w:rPr>
              <w:t xml:space="preserve">uterinės įrangos patalpa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C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300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D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– 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9E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Horizontalus paviršius 0,5 m aukštyje nuo grindų </w:t>
            </w:r>
          </w:p>
        </w:tc>
      </w:tr>
    </w:tbl>
    <w:p w14:paraId="462520A0" w14:textId="77777777" w:rsidR="003E176A" w:rsidRDefault="00B352F9">
      <w:pPr>
        <w:widowControl w:val="0"/>
        <w:suppressAutoHyphens/>
        <w:jc w:val="both"/>
        <w:rPr>
          <w:color w:val="000000"/>
        </w:rPr>
      </w:pPr>
    </w:p>
    <w:p w14:paraId="462520A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68.2</w:t>
      </w:r>
      <w:r>
        <w:rPr>
          <w:color w:val="000000"/>
        </w:rPr>
        <w:t xml:space="preserve">. patalpoje / erdvėje, kurioje ugdomas sutrikusio regėjimo vaikas, apšvietimas turi būti ne mažesnis kaip 500 lx. Esant gydytojo rekomendacijai, turi būti </w:t>
      </w:r>
      <w:r>
        <w:rPr>
          <w:color w:val="000000"/>
        </w:rPr>
        <w:t>papildomai įrengtas vietinis apšvietimas;</w:t>
      </w:r>
    </w:p>
    <w:p w14:paraId="462520A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68.3</w:t>
      </w:r>
      <w:r>
        <w:rPr>
          <w:color w:val="000000"/>
        </w:rPr>
        <w:t>. įstaigos vaikų ugdymo patalpose turi būti naudojami vienodai šviesą išsklaidantys šviestuvai.</w:t>
      </w:r>
    </w:p>
    <w:p w14:paraId="462520A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A4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IX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SKLYPO / TERITORIJOS, PATALPŲ, ĮRENGINIŲ, INVENTORIAUS, ŽAISLŲ PRIEŽIŪRA</w:t>
      </w:r>
    </w:p>
    <w:p w14:paraId="462520A5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A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69</w:t>
      </w:r>
      <w:r>
        <w:rPr>
          <w:color w:val="000000"/>
        </w:rPr>
        <w:t xml:space="preserve">. Įstaigos </w:t>
      </w:r>
      <w:r>
        <w:rPr>
          <w:color w:val="000000"/>
        </w:rPr>
        <w:t>sklypas / teritorija turi būti sistemingai valomas, prižiūrimas.</w:t>
      </w:r>
    </w:p>
    <w:p w14:paraId="462520A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70</w:t>
      </w:r>
      <w:r>
        <w:rPr>
          <w:color w:val="000000"/>
        </w:rPr>
        <w:t>. Smėlis sklypo / teritorijos vaikų žaidimo dėžėse turi būti keičiamas ar atnaujinamas kasmet ir pagal epidemiologines reikmes, nustačius askaridžių, plaukagalvių, toksokarų kiaušinėliu</w:t>
      </w:r>
      <w:r>
        <w:rPr>
          <w:color w:val="000000"/>
        </w:rPr>
        <w:t>s. Smėlis turi būti perkasamas pagal poreikį.</w:t>
      </w:r>
    </w:p>
    <w:p w14:paraId="462520A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71</w:t>
      </w:r>
      <w:r>
        <w:rPr>
          <w:color w:val="000000"/>
        </w:rPr>
        <w:t>. Smėlio dėžės turi būti apsaugotos nuo užteršimo.</w:t>
      </w:r>
    </w:p>
    <w:p w14:paraId="462520A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72</w:t>
      </w:r>
      <w:r>
        <w:rPr>
          <w:color w:val="000000"/>
        </w:rPr>
        <w:t>. Šiukšlių konteineriai turi būti reguliariai ištuštinami.</w:t>
      </w:r>
    </w:p>
    <w:p w14:paraId="462520A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73</w:t>
      </w:r>
      <w:r>
        <w:rPr>
          <w:color w:val="000000"/>
        </w:rPr>
        <w:t>. Įstaigos patalpos, įrenginiai ir kitas inventorius prižiūrimi ir valomi taip, ka</w:t>
      </w:r>
      <w:r>
        <w:rPr>
          <w:color w:val="000000"/>
        </w:rPr>
        <w:t>d būtų užtikrinta švara.</w:t>
      </w:r>
    </w:p>
    <w:p w14:paraId="462520A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74</w:t>
      </w:r>
      <w:r>
        <w:rPr>
          <w:color w:val="000000"/>
        </w:rPr>
        <w:t>. Tualetų-prausyklų valymo inventorius turi būti paženklintas ir laikomas atskirai nuo kitų grupių patalpų valymo inventoriaus.</w:t>
      </w:r>
    </w:p>
    <w:p w14:paraId="462520A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75</w:t>
      </w:r>
      <w:r>
        <w:rPr>
          <w:color w:val="000000"/>
        </w:rPr>
        <w:t xml:space="preserve">. Valymo priemonės ir dezinfektantai turi būti laikomi saugiai, vaikams neprieinamoje </w:t>
      </w:r>
      <w:r>
        <w:rPr>
          <w:color w:val="000000"/>
        </w:rPr>
        <w:t>vietoje.</w:t>
      </w:r>
    </w:p>
    <w:p w14:paraId="462520A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76</w:t>
      </w:r>
      <w:r>
        <w:rPr>
          <w:color w:val="000000"/>
        </w:rPr>
        <w:t>. Vaikų ugdymo patalpos turi būti vėdinamos skersvėjiniu būdu, kai patalpose nėra vaikų. Patalpų negalima vėdinti per tualeto-prausyklos patalpas. Vėdinamų patalpų temperatūra neturi nukristi žemiau 12° C.</w:t>
      </w:r>
    </w:p>
    <w:p w14:paraId="462520AE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77</w:t>
      </w:r>
      <w:r>
        <w:rPr>
          <w:color w:val="000000"/>
        </w:rPr>
        <w:t>. Kiekvienam vaikui turi būti</w:t>
      </w:r>
      <w:r>
        <w:rPr>
          <w:color w:val="000000"/>
        </w:rPr>
        <w:t xml:space="preserve"> numatyta ne mažiau kaip po 2 komplektus lovos skalbinių, rankšluosčių rankoms, rankšluosčių kojoms ir čiužinių užvalkalų. Lovos skalbiniai, rankšluosčiai keičiami pagal poreikį, bet ne rečiau kaip vieną kartą per savaitę savaitinėse grupėse ir vieną kartą</w:t>
      </w:r>
      <w:r>
        <w:rPr>
          <w:color w:val="000000"/>
        </w:rPr>
        <w:t xml:space="preserve"> per dvi savaites – dieninėse grupėse.</w:t>
      </w:r>
    </w:p>
    <w:p w14:paraId="462520A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78</w:t>
      </w:r>
      <w:r>
        <w:rPr>
          <w:color w:val="000000"/>
        </w:rPr>
        <w:t xml:space="preserve">. Žaislai neturi kelti pavojaus vaikų sveikatai ar rizikos juos nuryti, įkvėpti ar </w:t>
      </w:r>
      <w:r>
        <w:rPr>
          <w:color w:val="000000"/>
        </w:rPr>
        <w:lastRenderedPageBreak/>
        <w:t>susižeisti jais palietus odą, gleivinę, akis. Žaislai turi atitikti vaikų amžių, būti švarūs.</w:t>
      </w:r>
    </w:p>
    <w:p w14:paraId="462520B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79</w:t>
      </w:r>
      <w:r>
        <w:rPr>
          <w:color w:val="000000"/>
        </w:rPr>
        <w:t>. Patalpose turi nebūti grau</w:t>
      </w:r>
      <w:r>
        <w:rPr>
          <w:color w:val="000000"/>
        </w:rPr>
        <w:t>žikų ir kitų buitinių kenkėjų. Privalomą profilaktinį aplinkos kenksmingumo pašalinimą (dezinfekciją, dezinsekciją, deratizaciją) atlieka šiai veiklai licencijuoti asmenys [4.13].</w:t>
      </w:r>
    </w:p>
    <w:p w14:paraId="462520B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80</w:t>
      </w:r>
      <w:r>
        <w:rPr>
          <w:color w:val="000000"/>
        </w:rPr>
        <w:t>. Draudžiama atlikti privalomą profilaktinį aplinkos kenksmingumo paša</w:t>
      </w:r>
      <w:r>
        <w:rPr>
          <w:color w:val="000000"/>
        </w:rPr>
        <w:t>linimą (dezinfekciją, dezinsekciją, deratizaciją) vaikams esant įstaigoje. Įstaigos patalpos, kuriose atliekami remonto darbai, turi būti izoliuojamos nuo kitų patalpų / erdvių.</w:t>
      </w:r>
    </w:p>
    <w:p w14:paraId="462520B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81</w:t>
      </w:r>
      <w:r>
        <w:rPr>
          <w:color w:val="000000"/>
        </w:rPr>
        <w:t>. Nustačius ar įtarus užkrečiamosios ligos atvejį ar (ir) protrūkį, pata</w:t>
      </w:r>
      <w:r>
        <w:rPr>
          <w:color w:val="000000"/>
        </w:rPr>
        <w:t>lpos, įrenginiai, žaislai, inventorius valomi, dezinfekuojami pagal specialistų, vykdančių užkrečiamųjų ligų epidemiologinę priežiūrą ir kontrolę, nurodymus.</w:t>
      </w:r>
    </w:p>
    <w:p w14:paraId="462520B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82</w:t>
      </w:r>
      <w:r>
        <w:rPr>
          <w:color w:val="000000"/>
        </w:rPr>
        <w:t>. Privalomasis aplinkos kenksmingumo pašalinimas atliekamas teisės akto [4.18] nustatyta tva</w:t>
      </w:r>
      <w:r>
        <w:rPr>
          <w:color w:val="000000"/>
        </w:rPr>
        <w:t>rka pagal epidemiologines reikmes.</w:t>
      </w:r>
    </w:p>
    <w:p w14:paraId="462520B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83</w:t>
      </w:r>
      <w:r>
        <w:rPr>
          <w:color w:val="000000"/>
        </w:rPr>
        <w:t>. Valymo priemonės turi būti naudojamos pagal paskirtį. Biocidai leidžiami naudoti teisės akto [4.7] nustatyta tvarka.</w:t>
      </w:r>
    </w:p>
    <w:p w14:paraId="462520B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84</w:t>
      </w:r>
      <w:r>
        <w:rPr>
          <w:color w:val="000000"/>
        </w:rPr>
        <w:t>. Asmenys, dirbantys su valymo ir dezinfekcijos priemonėmis, turi mokėti naudotis šiomis p</w:t>
      </w:r>
      <w:r>
        <w:rPr>
          <w:color w:val="000000"/>
        </w:rPr>
        <w:t>riemonėmis ir laikytis gamintojo ar tiekėjo saugos duomenų lapuose nurodytų sveikatos saugos reikalavimų.</w:t>
      </w:r>
    </w:p>
    <w:p w14:paraId="462520B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85</w:t>
      </w:r>
      <w:r>
        <w:rPr>
          <w:color w:val="000000"/>
        </w:rPr>
        <w:t>. Patalpų naudojimo metu atsiradę sienų, lubų, grindų, įrenginių ar inventoriaus defektai, galintys turėti įtakos vaikų sveikatai ir saugumui, š</w:t>
      </w:r>
      <w:r>
        <w:rPr>
          <w:color w:val="000000"/>
        </w:rPr>
        <w:t>alinami nedelsiant.</w:t>
      </w:r>
    </w:p>
    <w:p w14:paraId="462520B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B8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X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MAISTO TVARKYMO PATALPŲ ĮRENGIMAS, PRIEŽIŪRA, MAISTO RUOŠIMAS</w:t>
      </w:r>
    </w:p>
    <w:p w14:paraId="462520B9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B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86</w:t>
      </w:r>
      <w:r>
        <w:rPr>
          <w:color w:val="000000"/>
        </w:rPr>
        <w:t>. Vaikai įstaigoje maitinami šiltu maistu.</w:t>
      </w:r>
    </w:p>
    <w:p w14:paraId="462520B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87</w:t>
      </w:r>
      <w:r>
        <w:rPr>
          <w:color w:val="000000"/>
        </w:rPr>
        <w:t xml:space="preserve">. Maisto produktų tiekimas, maisto tvarkymo vietos įrengimas ir maisto tvarkymas turi atitikti teisės aktų </w:t>
      </w:r>
      <w:r>
        <w:rPr>
          <w:color w:val="000000"/>
        </w:rPr>
        <w:t>[4.11, 4.12] reikalavimus.</w:t>
      </w:r>
    </w:p>
    <w:p w14:paraId="462520B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88</w:t>
      </w:r>
      <w:r>
        <w:rPr>
          <w:color w:val="000000"/>
        </w:rPr>
        <w:t>. Vaikų maitinimo valgiaraščiai turi būti sudaromi pagal rekomenduojamas paros energijos ir maistinių medžiagų normas vaikams, atsižvelgiant į vaikų ugdymo trukmę per parą (šios higienos normos 2 priedas). Maisto paruošimas</w:t>
      </w:r>
      <w:r>
        <w:rPr>
          <w:color w:val="000000"/>
        </w:rPr>
        <w:t xml:space="preserve"> ir patiekalų įvairumas turi atitikti vaikų amžiaus ypatumus ir sveikos mitybos principus bei taisykles.</w:t>
      </w:r>
    </w:p>
    <w:p w14:paraId="462520B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89</w:t>
      </w:r>
      <w:r>
        <w:rPr>
          <w:color w:val="000000"/>
        </w:rPr>
        <w:t>. Vaikų maitinimui neturi būti vartojami: subproduktai (inkstai, kepenys, smegenys, plaučiai); grybai; sultinių koncentratai; saldainiai, kondite</w:t>
      </w:r>
      <w:r>
        <w:rPr>
          <w:color w:val="000000"/>
        </w:rPr>
        <w:t>rijos gaminiai su kremu ir (ar) šokoladu; nealkoholiniai gėrimai su maisto priedais (dažikliais, konservantais, saldikliais); gazuoti gėrimai; bulvių traškučiai ir kiti riebaluose virti gaminiai; žuvies konservai; nepramoninės gamybos konservuoti gaminiai;</w:t>
      </w:r>
      <w:r>
        <w:rPr>
          <w:color w:val="000000"/>
        </w:rPr>
        <w:t xml:space="preserve"> žlėgtainiai; šaltiena; genetiškai modifikuotas maistas ar genetiškai modifikuotų sudedamųjų dalių turintys produktai; daug riebalų (daugiau nei 21 g/100 g), sočiųjų riebalų rūgščių (daugiau nei 6 g/100 g), cukraus (daugiau nei 18 g/100 g) ar druskos (daug</w:t>
      </w:r>
      <w:r>
        <w:rPr>
          <w:color w:val="000000"/>
        </w:rPr>
        <w:t>iau nei 2,4 g/100 g) turintys produktai (mėsos produktai, konditerijos gaminiai).</w:t>
      </w:r>
    </w:p>
    <w:p w14:paraId="462520BE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90</w:t>
      </w:r>
      <w:r>
        <w:rPr>
          <w:color w:val="000000"/>
        </w:rPr>
        <w:t>. Vaikų iki 1 metų maitinimo organizavimas:</w:t>
      </w:r>
    </w:p>
    <w:p w14:paraId="462520B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90.1</w:t>
      </w:r>
      <w:r>
        <w:rPr>
          <w:color w:val="000000"/>
        </w:rPr>
        <w:t>. vaikai iki 1 metų maitinami pagal individualius valgiaraščius, suderintus su tėvais pagal pateiktas gydytojo rekomen</w:t>
      </w:r>
      <w:r>
        <w:rPr>
          <w:color w:val="000000"/>
        </w:rPr>
        <w:t>dacijas. Valgiaraštyje turi būti nurodytos kiekvieno vaiko maitinimo valandos, motinos pieno ar adaptuotų pieno mišinių, kito maisto kiekiai;</w:t>
      </w:r>
    </w:p>
    <w:p w14:paraId="462520C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90.2</w:t>
      </w:r>
      <w:r>
        <w:rPr>
          <w:color w:val="000000"/>
        </w:rPr>
        <w:t>. turi būti pildomas ir saugomas grupėje kiekvieno vaiko mitybos lapas, kuriame iš karto po maitinimo užra</w:t>
      </w:r>
      <w:r>
        <w:rPr>
          <w:color w:val="000000"/>
        </w:rPr>
        <w:t>šomas suvalgyto kiekvienos rūšies maisto kiekis;</w:t>
      </w:r>
    </w:p>
    <w:p w14:paraId="462520C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90.3</w:t>
      </w:r>
      <w:r>
        <w:rPr>
          <w:color w:val="000000"/>
        </w:rPr>
        <w:t>. sausieji mišiniai ruošiami pagal gamintojo instrukciją grupės virtuvėlėje prieš pat maitinimą;</w:t>
      </w:r>
    </w:p>
    <w:p w14:paraId="462520C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90.4</w:t>
      </w:r>
      <w:r>
        <w:rPr>
          <w:color w:val="000000"/>
        </w:rPr>
        <w:t>. motinos pienas gali būti atnešamas šviežias ar užšaldytas vieno maitinimo porcijomis maistui</w:t>
      </w:r>
      <w:r>
        <w:rPr>
          <w:color w:val="000000"/>
        </w:rPr>
        <w:t xml:space="preserve"> laikyti skirtuose induose:</w:t>
      </w:r>
    </w:p>
    <w:p w14:paraId="462520C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90.4.1</w:t>
      </w:r>
      <w:r>
        <w:rPr>
          <w:color w:val="000000"/>
        </w:rPr>
        <w:t>. motinos pienas atnešamas tos dienos maitinimui ir laikomas šaldytuve 4–5 °C temperatūroje;</w:t>
      </w:r>
    </w:p>
    <w:p w14:paraId="462520C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90.4.2</w:t>
      </w:r>
      <w:r>
        <w:rPr>
          <w:color w:val="000000"/>
        </w:rPr>
        <w:t xml:space="preserve">. šaldytas motinos pienas atšildomas kambario temperatūroje, šilto vandens </w:t>
      </w:r>
      <w:r>
        <w:rPr>
          <w:color w:val="000000"/>
        </w:rPr>
        <w:lastRenderedPageBreak/>
        <w:t>vonelėje arba kūdikių maisto šildytuve. Dr</w:t>
      </w:r>
      <w:r>
        <w:rPr>
          <w:color w:val="000000"/>
        </w:rPr>
        <w:t>audžiama motinos pieną atšildyti mikrobangų krosnelėje ar verdančio vandens vonelėje. Atšildyto motinos pieno negalima pakartotinai užšaldyti;</w:t>
      </w:r>
    </w:p>
    <w:p w14:paraId="462520C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90.4.3</w:t>
      </w:r>
      <w:r>
        <w:rPr>
          <w:color w:val="000000"/>
        </w:rPr>
        <w:t>. indai su atneštu motinos pienu turi būti paženklinti, užrašant pieno nutraukimo laiką ir vaiko vardą,</w:t>
      </w:r>
      <w:r>
        <w:rPr>
          <w:color w:val="000000"/>
        </w:rPr>
        <w:t xml:space="preserve"> pavardę.</w:t>
      </w:r>
    </w:p>
    <w:p w14:paraId="462520C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91</w:t>
      </w:r>
      <w:r>
        <w:rPr>
          <w:color w:val="000000"/>
        </w:rPr>
        <w:t>. 1–7 m. amžiaus vaikų maitinimo organizavimas:</w:t>
      </w:r>
    </w:p>
    <w:p w14:paraId="462520C7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91.1</w:t>
      </w:r>
      <w:r>
        <w:rPr>
          <w:color w:val="000000"/>
        </w:rPr>
        <w:t xml:space="preserve">. vaikai turi būti maitinami ne rečiau kaip kas 3,5–4 val. pagal valgiaraščius, patvirtintus įstaigos vadovo ir suderintus su teritorine visuomenės sveikatos priežiūros įstaiga. </w:t>
      </w:r>
      <w:r>
        <w:rPr>
          <w:color w:val="000000"/>
        </w:rPr>
        <w:t>Sudaromi atskiri 10 dienų valgiaraščiai 1–3 ir 4–7 m. amžiaus vaikams;</w:t>
      </w:r>
    </w:p>
    <w:p w14:paraId="462520C8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91.2</w:t>
      </w:r>
      <w:r>
        <w:rPr>
          <w:color w:val="000000"/>
        </w:rPr>
        <w:t>. pusryčiams vaikas turi gauti 20–25 proc., pietums – 35–40 proc., pavakariams ar priešpiečiams – 10–15 proc. (gali būti organizuojami abu maitinimai, tada jų bendras kaloringum</w:t>
      </w:r>
      <w:r>
        <w:rPr>
          <w:color w:val="000000"/>
        </w:rPr>
        <w:t>as turi sudaryti 10–15 proc.), vakarienei – 20–25 proc. rekomenduojamo paros maisto raciono kaloringumo, jei tokie maitinimai yra valgiaraščiuose;</w:t>
      </w:r>
    </w:p>
    <w:p w14:paraId="462520C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91.3</w:t>
      </w:r>
      <w:r>
        <w:rPr>
          <w:color w:val="000000"/>
        </w:rPr>
        <w:t>. jeigu vaikai įstaigoje nemaitinami, turi būti sudaryta galimybė atsigerti geriamojo vandens reikala</w:t>
      </w:r>
      <w:r>
        <w:rPr>
          <w:color w:val="000000"/>
        </w:rPr>
        <w:t>vimus atitinkančio vandens.</w:t>
      </w:r>
    </w:p>
    <w:p w14:paraId="462520C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92</w:t>
      </w:r>
      <w:r>
        <w:rPr>
          <w:color w:val="000000"/>
        </w:rPr>
        <w:t>. Draudžiama naudoti susidėvėjusius, įskilusius, apdaužytais kraštais indus ir aliumininius įrankius.</w:t>
      </w:r>
    </w:p>
    <w:p w14:paraId="462520C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93</w:t>
      </w:r>
      <w:r>
        <w:rPr>
          <w:color w:val="000000"/>
        </w:rPr>
        <w:t>. Maisto atliekos turi būti surenkamos į specialiai tam skirtą ir paženklintą kibirą ar kitą talpyklą. Po kiekvi</w:t>
      </w:r>
      <w:r>
        <w:rPr>
          <w:color w:val="000000"/>
        </w:rPr>
        <w:t>eno maitinimo atliekos išnešamos iš grupės patalpų. Kasdien, pašalinus atliekas, talpyklos turi būti išplaunamos.</w:t>
      </w:r>
    </w:p>
    <w:p w14:paraId="462520C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CD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XI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VAIKŲ PRIĖMIMAS, DIENOS REŽIMAS</w:t>
      </w:r>
    </w:p>
    <w:p w14:paraId="462520CE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C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94</w:t>
      </w:r>
      <w:r>
        <w:rPr>
          <w:color w:val="000000"/>
        </w:rPr>
        <w:t xml:space="preserve">. Priimant vaiką į įstaigą ir vėliau kiekvienais metais turi būti pateiktas Vaiko sveikatos </w:t>
      </w:r>
      <w:r>
        <w:rPr>
          <w:color w:val="000000"/>
        </w:rPr>
        <w:t>pažymėjimas (forma Nr. 027-1/a) [4.5, 4.10].</w:t>
      </w:r>
    </w:p>
    <w:p w14:paraId="462520D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95</w:t>
      </w:r>
      <w:r>
        <w:rPr>
          <w:color w:val="000000"/>
        </w:rPr>
        <w:t>. Draudžiama priimti sergančius ar (ir) turinčius užkrečiamųjų ligų požymių (karščiuoja, skundžiasi skausmu, viduriuoja, vemia, kosti, yra išskyrų iš nosies ir kt.) vaikus, taip pat turinčius utėlių ar gli</w:t>
      </w:r>
      <w:r>
        <w:rPr>
          <w:color w:val="000000"/>
        </w:rPr>
        <w:t>ndų.</w:t>
      </w:r>
    </w:p>
    <w:p w14:paraId="462520D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96</w:t>
      </w:r>
      <w:r>
        <w:rPr>
          <w:color w:val="000000"/>
        </w:rPr>
        <w:t>. Vaikui sunegalavus įstaigoje, jis izoliuojamas iki atvykstant tėvams.</w:t>
      </w:r>
    </w:p>
    <w:p w14:paraId="462520D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97</w:t>
      </w:r>
      <w:r>
        <w:rPr>
          <w:color w:val="000000"/>
        </w:rPr>
        <w:t>. Po ligos vaikas gali būti priimtas į įstaigą tik tėvams (globėjams) pateikus gydytojo pažymą (F 094/a )[4.4].</w:t>
      </w:r>
    </w:p>
    <w:p w14:paraId="462520D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98</w:t>
      </w:r>
      <w:r>
        <w:rPr>
          <w:color w:val="000000"/>
        </w:rPr>
        <w:t>. Vaiko dienos režimas turi atitikti vaiko fiziol</w:t>
      </w:r>
      <w:r>
        <w:rPr>
          <w:color w:val="000000"/>
        </w:rPr>
        <w:t>oginius poreikius, jo amžiaus ypatumus, sveikatos būklę.</w:t>
      </w:r>
    </w:p>
    <w:p w14:paraId="462520D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99</w:t>
      </w:r>
      <w:r>
        <w:rPr>
          <w:color w:val="000000"/>
        </w:rPr>
        <w:t>. Aktyvi fizinė veikla turi būti organizuojama kasdien, atsižvelgiant į vaikų amžių ir sveikatos būklę.</w:t>
      </w:r>
    </w:p>
    <w:p w14:paraId="462520D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100</w:t>
      </w:r>
      <w:r>
        <w:rPr>
          <w:color w:val="000000"/>
        </w:rPr>
        <w:t>. Kasdien 2 kartus šviesiu paros metu vaikai turi būti išvedami į lauką. Žiemos me</w:t>
      </w:r>
      <w:r>
        <w:rPr>
          <w:color w:val="000000"/>
        </w:rPr>
        <w:t>tu – esant ne žemesnei kaip minus 12 °C temperatūrai ir silpnam vėjo greičiui (iki 2 m/sek.) arba ne žemesnei kaip minus 8 °C temperatūrai ir vidutiniam vėjo greičiui (nuo 2 iki 6 m/sek.).</w:t>
      </w:r>
    </w:p>
    <w:p w14:paraId="462520D6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</w:p>
    <w:p w14:paraId="462520D7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XII</w:t>
      </w:r>
      <w:r>
        <w:rPr>
          <w:b/>
          <w:bCs/>
          <w:caps/>
          <w:color w:val="000000"/>
        </w:rPr>
        <w:t xml:space="preserve">. </w:t>
      </w:r>
      <w:r>
        <w:rPr>
          <w:b/>
          <w:bCs/>
          <w:caps/>
          <w:color w:val="000000"/>
        </w:rPr>
        <w:t>VAIKŲ IKI 1 METŲ AMŽIAUS PRIEŽIŪROS REIKALAVIMAI</w:t>
      </w:r>
    </w:p>
    <w:p w14:paraId="462520D8" w14:textId="77777777" w:rsidR="003E176A" w:rsidRDefault="003E176A">
      <w:pPr>
        <w:widowControl w:val="0"/>
        <w:suppressAutoHyphens/>
        <w:ind w:firstLine="567"/>
        <w:jc w:val="both"/>
        <w:rPr>
          <w:color w:val="000000"/>
        </w:rPr>
      </w:pPr>
    </w:p>
    <w:p w14:paraId="462520D9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101</w:t>
      </w:r>
      <w:r>
        <w:rPr>
          <w:color w:val="000000"/>
        </w:rPr>
        <w:t>. Šalia grupės patalpų turi būti numatyta vieta vežimėliams laikyti.</w:t>
      </w:r>
    </w:p>
    <w:p w14:paraId="462520DA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102</w:t>
      </w:r>
      <w:r>
        <w:rPr>
          <w:color w:val="000000"/>
        </w:rPr>
        <w:t>. Priėmimo-nusirengimo patalpoje turi būti vystymo stalas.</w:t>
      </w:r>
    </w:p>
    <w:p w14:paraId="462520DB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103</w:t>
      </w:r>
      <w:r>
        <w:rPr>
          <w:color w:val="000000"/>
        </w:rPr>
        <w:t>. Žaidimo kambaryje ne mažesniu kaip 1 m atstumu nuo lango turi būti įrengtas maniežas su aptvaru, maitinimo kėd</w:t>
      </w:r>
      <w:r>
        <w:rPr>
          <w:color w:val="000000"/>
        </w:rPr>
        <w:t>ės.</w:t>
      </w:r>
    </w:p>
    <w:p w14:paraId="462520DC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104</w:t>
      </w:r>
      <w:r>
        <w:rPr>
          <w:color w:val="000000"/>
        </w:rPr>
        <w:t>. Žaidimų kambaryje turi būti vystymo stalas, šalia jo praustuvė, rankšluosčių kabykla, uždaras indas nešvariems skalbiniams.</w:t>
      </w:r>
    </w:p>
    <w:p w14:paraId="462520DD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105</w:t>
      </w:r>
      <w:r>
        <w:rPr>
          <w:color w:val="000000"/>
        </w:rPr>
        <w:t>. Vaikų grupėje pertvaros dalis tarp miegamojo ir žaidimų kambario turi būti įstiklinta.</w:t>
      </w:r>
    </w:p>
    <w:p w14:paraId="462520DE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106</w:t>
      </w:r>
      <w:r>
        <w:rPr>
          <w:color w:val="000000"/>
        </w:rPr>
        <w:t>. Čiužiniai turi</w:t>
      </w:r>
      <w:r>
        <w:rPr>
          <w:color w:val="000000"/>
        </w:rPr>
        <w:t xml:space="preserve"> būti su atspariais drėgmei užvalkalais.</w:t>
      </w:r>
    </w:p>
    <w:p w14:paraId="462520DF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107</w:t>
      </w:r>
      <w:r>
        <w:rPr>
          <w:color w:val="000000"/>
        </w:rPr>
        <w:t>. Maniežo, vystymo stalų danga turi būti lygi, atspari drėgmei, lengvai valoma ir dezinfekuojama.</w:t>
      </w:r>
    </w:p>
    <w:p w14:paraId="462520E0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108</w:t>
      </w:r>
      <w:r>
        <w:rPr>
          <w:color w:val="000000"/>
        </w:rPr>
        <w:t>. Maniežo, lovelių sienelių vertikalūs tarpai turi būti ne didesni kaip 0,05 m. Maniežo aptvaro aukštis</w:t>
      </w:r>
      <w:r>
        <w:rPr>
          <w:color w:val="000000"/>
        </w:rPr>
        <w:t xml:space="preserve"> turi būti ne mažesnis kaip 0,8 m. Nevaikštančių vaikų maniežo apačios aukštis nuo grindų turi būti ne mažesnis 0,5 m.</w:t>
      </w:r>
    </w:p>
    <w:p w14:paraId="462520E1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109</w:t>
      </w:r>
      <w:r>
        <w:rPr>
          <w:color w:val="000000"/>
        </w:rPr>
        <w:t>. Virtuvėlėje turi būti maisto paruošimo vieta, 2 skyrių plautuvė, šaldytuvas, įrenginys buteliukams virinti ar sterilizuoti.</w:t>
      </w:r>
    </w:p>
    <w:p w14:paraId="462520E2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110</w:t>
      </w:r>
      <w:r>
        <w:rPr>
          <w:color w:val="000000"/>
        </w:rPr>
        <w:t>. Po kiekvieno panaudojimo buteliukai ir čiulptukai, buteliukų plovimo šepetėliai turi būti gerai išplaunami ir virinami apsemti vandens uždengtame inde 15 min.</w:t>
      </w:r>
    </w:p>
    <w:p w14:paraId="462520E3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111</w:t>
      </w:r>
      <w:r>
        <w:rPr>
          <w:color w:val="000000"/>
        </w:rPr>
        <w:t>. Švarūs buteliukai ir čiulptukai laikomi uždarame inde, buteliukų plovimo šepetėli</w:t>
      </w:r>
      <w:r>
        <w:rPr>
          <w:color w:val="000000"/>
        </w:rPr>
        <w:t>ai išdžiovinami ir laikomi sausi.</w:t>
      </w:r>
    </w:p>
    <w:p w14:paraId="462520E4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112</w:t>
      </w:r>
      <w:r>
        <w:rPr>
          <w:color w:val="000000"/>
        </w:rPr>
        <w:t>. Vystymo stalai, maitinimo kėdės turi būti valomos po kiekvieno panaudojimo.</w:t>
      </w:r>
    </w:p>
    <w:p w14:paraId="462520E5" w14:textId="77777777" w:rsidR="003E176A" w:rsidRDefault="00B352F9">
      <w:pPr>
        <w:widowControl w:val="0"/>
        <w:suppressAutoHyphens/>
        <w:ind w:firstLine="567"/>
        <w:jc w:val="both"/>
        <w:rPr>
          <w:color w:val="000000"/>
        </w:rPr>
      </w:pPr>
      <w:r>
        <w:rPr>
          <w:color w:val="000000"/>
        </w:rPr>
        <w:t>113</w:t>
      </w:r>
      <w:r>
        <w:rPr>
          <w:color w:val="000000"/>
        </w:rPr>
        <w:t xml:space="preserve">. Nešvarios sauskelnės turi būti surenkamos ir laikomos atspariame drėgmei, lengvai valomame ir dezinfekuojamame inde su sandariu </w:t>
      </w:r>
      <w:r>
        <w:rPr>
          <w:color w:val="000000"/>
        </w:rPr>
        <w:t>dangčiu, pastatytame vaikams neprieinamoje vietoje.</w:t>
      </w:r>
    </w:p>
    <w:p w14:paraId="462520E6" w14:textId="77777777" w:rsidR="003E176A" w:rsidRDefault="00B352F9">
      <w:pPr>
        <w:widowControl w:val="0"/>
        <w:suppressAutoHyphens/>
        <w:jc w:val="both"/>
        <w:rPr>
          <w:color w:val="000000"/>
        </w:rPr>
      </w:pPr>
    </w:p>
    <w:p w14:paraId="462520E7" w14:textId="77777777" w:rsidR="003E176A" w:rsidRDefault="00B352F9">
      <w:pPr>
        <w:widowControl w:val="0"/>
        <w:suppressAutoHyphens/>
        <w:jc w:val="center"/>
        <w:rPr>
          <w:color w:val="000000"/>
        </w:rPr>
      </w:pPr>
      <w:r>
        <w:rPr>
          <w:color w:val="000000"/>
        </w:rPr>
        <w:t>________________</w:t>
      </w:r>
    </w:p>
    <w:p w14:paraId="462520E8" w14:textId="77777777" w:rsidR="003E176A" w:rsidRDefault="00B352F9">
      <w:pPr>
        <w:widowControl w:val="0"/>
        <w:suppressAutoHyphens/>
        <w:ind w:left="4536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Lietuvos higienos normos HN 75:2010</w:t>
      </w:r>
    </w:p>
    <w:p w14:paraId="462520E9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 xml:space="preserve">„Įstaiga, vykdanti ikimokyklinio ir (ar) </w:t>
      </w:r>
    </w:p>
    <w:p w14:paraId="462520EA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 xml:space="preserve">priešmokyklinio ugdymo programą. Bendrieji </w:t>
      </w:r>
    </w:p>
    <w:p w14:paraId="462520EB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>sveikatos saugos reikalavimai“</w:t>
      </w:r>
    </w:p>
    <w:p w14:paraId="462520EC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 xml:space="preserve"> priedas</w:t>
      </w:r>
    </w:p>
    <w:p w14:paraId="462520ED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p w14:paraId="462520EE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NUODINGŲ AU</w:t>
      </w:r>
      <w:r>
        <w:rPr>
          <w:b/>
          <w:bCs/>
          <w:caps/>
          <w:color w:val="000000"/>
        </w:rPr>
        <w:t>GALŲ, DRAUDŽIAMŲ SODINTI ĮSTAIGOS TERITORIJOJE APŽELDINIMO TIKSLU, SĄRAŠAS</w:t>
      </w:r>
    </w:p>
    <w:p w14:paraId="462520EF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tbl>
      <w:tblPr>
        <w:tblW w:w="9223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2838"/>
        <w:gridCol w:w="3385"/>
      </w:tblGrid>
      <w:tr w:rsidR="003E176A" w14:paraId="462520F3" w14:textId="77777777">
        <w:trPr>
          <w:trHeight w:val="60"/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0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Augalas / augalų rūšys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1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Lotyniškas pavadinimas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2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Nuodingos augalo dalys </w:t>
            </w:r>
          </w:p>
        </w:tc>
      </w:tr>
      <w:tr w:rsidR="003E176A" w14:paraId="462520F7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4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Amerikinė fitolaka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5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Phytolacca americana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6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augalas, ypač lapai ir uogos </w:t>
            </w:r>
          </w:p>
        </w:tc>
      </w:tr>
      <w:tr w:rsidR="003E176A" w14:paraId="462520FB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8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Baltasis čemerys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9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Veratrum album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A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augalas, ypač šaknys </w:t>
            </w:r>
          </w:p>
        </w:tc>
      </w:tr>
      <w:tr w:rsidR="003E176A" w14:paraId="462520FF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C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Brugmansijos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D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Brugmansia spp.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0FE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 </w:t>
            </w:r>
          </w:p>
        </w:tc>
      </w:tr>
      <w:tr w:rsidR="003E176A" w14:paraId="46252103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0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Darželinis pupmedis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1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Laburnum anagyroides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2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 </w:t>
            </w:r>
          </w:p>
        </w:tc>
      </w:tr>
      <w:tr w:rsidR="003E176A" w14:paraId="46252107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4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Juodoji drignė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5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Hyoscyamus niger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6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 </w:t>
            </w:r>
          </w:p>
        </w:tc>
      </w:tr>
      <w:tr w:rsidR="003E176A" w14:paraId="4625210B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8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Kukmedžiai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9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Taxus spp.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A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 </w:t>
            </w:r>
          </w:p>
        </w:tc>
      </w:tr>
      <w:tr w:rsidR="003E176A" w14:paraId="4625210F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C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Kurpelės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D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Aconitum spp.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0E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augalas, ypač lapai ir šaknys </w:t>
            </w:r>
          </w:p>
        </w:tc>
      </w:tr>
      <w:tr w:rsidR="003E176A" w14:paraId="46252113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0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Lobelio čemerys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1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Veratrum lobelianum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2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augalas, ypač šaknys </w:t>
            </w:r>
          </w:p>
        </w:tc>
      </w:tr>
      <w:tr w:rsidR="003E176A" w14:paraId="46252117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4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Paprastasis ricinmedis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5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Ricinus communis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6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augalas, ypač sėklos </w:t>
            </w:r>
          </w:p>
        </w:tc>
      </w:tr>
      <w:tr w:rsidR="003E176A" w14:paraId="4625211B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8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Paprastasis žalčialunkis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9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Daphne mezereum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A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 </w:t>
            </w:r>
          </w:p>
        </w:tc>
      </w:tr>
      <w:tr w:rsidR="003E176A" w14:paraId="4625211F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C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Paprastoji durnaropė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D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Datura stramonium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1E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augalas, ypač sėklos ir lapai </w:t>
            </w:r>
          </w:p>
        </w:tc>
      </w:tr>
      <w:tr w:rsidR="003E176A" w14:paraId="46252123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0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Paprastoji pakalnutė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1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Convallaria majalis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2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 </w:t>
            </w:r>
          </w:p>
        </w:tc>
      </w:tr>
      <w:tr w:rsidR="003E176A" w14:paraId="46252127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4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Paprastoji rusmenė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5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Digitalis purpurea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6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Lapai, žiedai, sėklos </w:t>
            </w:r>
          </w:p>
        </w:tc>
      </w:tr>
      <w:tr w:rsidR="003E176A" w14:paraId="4625212B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8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Rudeninis vėlyvis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9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Colchicum autumnale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A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 </w:t>
            </w:r>
          </w:p>
        </w:tc>
      </w:tr>
      <w:tr w:rsidR="003E176A" w14:paraId="4625212F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C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Tabakas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D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Nicotiana spp.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2E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 </w:t>
            </w:r>
          </w:p>
        </w:tc>
      </w:tr>
      <w:tr w:rsidR="003E176A" w14:paraId="46252133" w14:textId="77777777">
        <w:trPr>
          <w:trHeight w:val="60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30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Vaistinė šunvyšnė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31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i/>
                <w:iCs/>
                <w:color w:val="000000"/>
                <w:sz w:val="22"/>
              </w:rPr>
              <w:t xml:space="preserve">Atropa belladona 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32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Visas augalas, ypač uogos </w:t>
            </w:r>
          </w:p>
        </w:tc>
      </w:tr>
    </w:tbl>
    <w:p w14:paraId="46252134" w14:textId="77777777" w:rsidR="003E176A" w:rsidRDefault="003E176A">
      <w:pPr>
        <w:widowControl w:val="0"/>
        <w:suppressAutoHyphens/>
        <w:jc w:val="both"/>
        <w:rPr>
          <w:color w:val="000000"/>
          <w:sz w:val="2"/>
        </w:rPr>
      </w:pPr>
    </w:p>
    <w:p w14:paraId="46252135" w14:textId="77777777" w:rsidR="003E176A" w:rsidRDefault="00B352F9">
      <w:pPr>
        <w:widowControl w:val="0"/>
        <w:suppressAutoHyphens/>
        <w:jc w:val="center"/>
        <w:rPr>
          <w:color w:val="000000"/>
        </w:rPr>
      </w:pPr>
      <w:r>
        <w:rPr>
          <w:color w:val="000000"/>
        </w:rPr>
        <w:t>_________________</w:t>
      </w:r>
    </w:p>
    <w:p w14:paraId="46252136" w14:textId="77777777" w:rsidR="003E176A" w:rsidRDefault="00B352F9">
      <w:pPr>
        <w:widowControl w:val="0"/>
        <w:suppressAutoHyphens/>
        <w:rPr>
          <w:color w:val="000000"/>
        </w:rPr>
      </w:pPr>
    </w:p>
    <w:p w14:paraId="46252137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Lietuvos higienos normos HN 75:2010</w:t>
      </w:r>
    </w:p>
    <w:p w14:paraId="46252138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 xml:space="preserve">„Įstaiga, vykdanti ikimokyklinio ir (ar) </w:t>
      </w:r>
    </w:p>
    <w:p w14:paraId="46252139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 xml:space="preserve">priešmokyklinio ugdymo programą. Bendrieji </w:t>
      </w:r>
    </w:p>
    <w:p w14:paraId="4625213A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>sveikatos saugos reikalavimai“</w:t>
      </w:r>
    </w:p>
    <w:p w14:paraId="4625213B" w14:textId="77777777" w:rsidR="003E176A" w:rsidRDefault="00B352F9">
      <w:pPr>
        <w:widowControl w:val="0"/>
        <w:suppressAutoHyphens/>
        <w:ind w:left="4535"/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 xml:space="preserve"> priedas</w:t>
      </w:r>
    </w:p>
    <w:p w14:paraId="4625213C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p w14:paraId="4625213D" w14:textId="77777777" w:rsidR="003E176A" w:rsidRDefault="00B352F9">
      <w:pPr>
        <w:widowControl w:val="0"/>
        <w:suppressAutoHyphens/>
        <w:jc w:val="center"/>
        <w:rPr>
          <w:b/>
          <w:bCs/>
          <w:caps/>
          <w:color w:val="000000"/>
        </w:rPr>
      </w:pPr>
      <w:r>
        <w:rPr>
          <w:b/>
          <w:bCs/>
          <w:caps/>
          <w:color w:val="000000"/>
        </w:rPr>
        <w:t>PAROS ENERGIJOS IR MAISTINIŲ MEDŽIAGŲ NORMOS VAIKAMS</w:t>
      </w:r>
    </w:p>
    <w:p w14:paraId="4625213E" w14:textId="77777777" w:rsidR="003E176A" w:rsidRDefault="003E176A">
      <w:pPr>
        <w:widowControl w:val="0"/>
        <w:suppressAutoHyphens/>
        <w:jc w:val="both"/>
        <w:rPr>
          <w:color w:val="000000"/>
        </w:rPr>
      </w:pPr>
    </w:p>
    <w:tbl>
      <w:tblPr>
        <w:tblW w:w="9324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2142"/>
        <w:gridCol w:w="1701"/>
        <w:gridCol w:w="1554"/>
        <w:gridCol w:w="2007"/>
      </w:tblGrid>
      <w:tr w:rsidR="003E176A" w14:paraId="46252144" w14:textId="77777777">
        <w:trPr>
          <w:trHeight w:val="62"/>
          <w:tblHeader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3F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Vaiko amžius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0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Energija, kcal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1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Baltymai, g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2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Riebalai, g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3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Angliavandeniai, g </w:t>
            </w:r>
          </w:p>
        </w:tc>
      </w:tr>
      <w:tr w:rsidR="003E176A" w14:paraId="4625214A" w14:textId="77777777">
        <w:trPr>
          <w:trHeight w:val="6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5" w14:textId="77777777" w:rsidR="003E176A" w:rsidRDefault="00B352F9">
            <w:pPr>
              <w:widowControl w:val="0"/>
              <w:suppressAutoHyphens/>
              <w:ind w:left="17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Iki 3 mėn. </w:t>
            </w:r>
          </w:p>
        </w:tc>
        <w:tc>
          <w:tcPr>
            <w:tcW w:w="74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6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Energijos kiekis = kūno svoris (kg) x 108</w:t>
            </w:r>
          </w:p>
          <w:p w14:paraId="46252147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Baltymų kiekis = kūno </w:t>
            </w:r>
            <w:r>
              <w:rPr>
                <w:color w:val="000000"/>
                <w:sz w:val="22"/>
              </w:rPr>
              <w:t>svoris (kg) x 2,4</w:t>
            </w:r>
          </w:p>
          <w:p w14:paraId="46252148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Riebalų kiekis = kūno svoris (kg) x 4,9</w:t>
            </w:r>
          </w:p>
          <w:p w14:paraId="46252149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Angliavandenių kiekis = kūno svoris (kg) x 13,6</w:t>
            </w:r>
          </w:p>
        </w:tc>
      </w:tr>
      <w:tr w:rsidR="003E176A" w14:paraId="4625214D" w14:textId="77777777">
        <w:trPr>
          <w:trHeight w:val="6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B" w14:textId="77777777" w:rsidR="003E176A" w:rsidRDefault="00B352F9">
            <w:pPr>
              <w:widowControl w:val="0"/>
              <w:suppressAutoHyphens/>
              <w:ind w:left="17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4–6 mėn.</w:t>
            </w:r>
          </w:p>
        </w:tc>
        <w:tc>
          <w:tcPr>
            <w:tcW w:w="740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25214C" w14:textId="77777777" w:rsidR="003E176A" w:rsidRDefault="003E176A">
            <w:pPr>
              <w:widowControl w:val="0"/>
              <w:rPr>
                <w:sz w:val="22"/>
              </w:rPr>
            </w:pPr>
          </w:p>
        </w:tc>
      </w:tr>
      <w:tr w:rsidR="003E176A" w14:paraId="46252153" w14:textId="77777777">
        <w:trPr>
          <w:trHeight w:val="6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E" w14:textId="77777777" w:rsidR="003E176A" w:rsidRDefault="00B352F9">
            <w:pPr>
              <w:widowControl w:val="0"/>
              <w:suppressAutoHyphens/>
              <w:ind w:left="17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7–9 mėn. </w:t>
            </w:r>
          </w:p>
        </w:tc>
        <w:tc>
          <w:tcPr>
            <w:tcW w:w="74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4F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Energijos kiekis = kūno svoris (kg) x 96</w:t>
            </w:r>
          </w:p>
          <w:p w14:paraId="46252150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Baltymų kiekis = kūno svoris (kg) x 2,1</w:t>
            </w:r>
          </w:p>
          <w:p w14:paraId="46252151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Riebalų kiekis = kūno svoris (kg) x 3,7</w:t>
            </w:r>
          </w:p>
          <w:p w14:paraId="46252152" w14:textId="77777777" w:rsidR="003E176A" w:rsidRDefault="00B352F9">
            <w:pPr>
              <w:widowControl w:val="0"/>
              <w:suppressAutoHyphens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Angliavandenių kiekis = kūno svoris (kg) x 13,6</w:t>
            </w:r>
          </w:p>
        </w:tc>
      </w:tr>
      <w:tr w:rsidR="003E176A" w14:paraId="46252156" w14:textId="77777777">
        <w:trPr>
          <w:trHeight w:val="6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4" w14:textId="77777777" w:rsidR="003E176A" w:rsidRDefault="00B352F9">
            <w:pPr>
              <w:widowControl w:val="0"/>
              <w:suppressAutoHyphens/>
              <w:ind w:left="17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10–12 mėn.</w:t>
            </w:r>
          </w:p>
        </w:tc>
        <w:tc>
          <w:tcPr>
            <w:tcW w:w="740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252155" w14:textId="77777777" w:rsidR="003E176A" w:rsidRDefault="003E176A">
            <w:pPr>
              <w:widowControl w:val="0"/>
              <w:rPr>
                <w:sz w:val="22"/>
              </w:rPr>
            </w:pPr>
          </w:p>
        </w:tc>
      </w:tr>
      <w:tr w:rsidR="003E176A" w14:paraId="4625215C" w14:textId="77777777">
        <w:trPr>
          <w:trHeight w:val="6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7" w14:textId="77777777" w:rsidR="003E176A" w:rsidRDefault="00B352F9">
            <w:pPr>
              <w:widowControl w:val="0"/>
              <w:suppressAutoHyphens/>
              <w:ind w:left="17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1–3 m.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8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1400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9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45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A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50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B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193 </w:t>
            </w:r>
          </w:p>
        </w:tc>
      </w:tr>
      <w:tr w:rsidR="003E176A" w14:paraId="46252162" w14:textId="77777777">
        <w:trPr>
          <w:trHeight w:val="6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D" w14:textId="77777777" w:rsidR="003E176A" w:rsidRDefault="00B352F9">
            <w:pPr>
              <w:widowControl w:val="0"/>
              <w:suppressAutoHyphens/>
              <w:ind w:left="17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4–7 m.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E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1700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5F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55 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60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60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252161" w14:textId="77777777" w:rsidR="003E176A" w:rsidRDefault="00B352F9">
            <w:pPr>
              <w:widowControl w:val="0"/>
              <w:suppressAutoHyphens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235 </w:t>
            </w:r>
          </w:p>
        </w:tc>
      </w:tr>
    </w:tbl>
    <w:p w14:paraId="46252163" w14:textId="77777777" w:rsidR="003E176A" w:rsidRDefault="003E176A">
      <w:pPr>
        <w:widowControl w:val="0"/>
        <w:suppressAutoHyphens/>
        <w:jc w:val="both"/>
        <w:rPr>
          <w:color w:val="000000"/>
          <w:sz w:val="2"/>
        </w:rPr>
      </w:pPr>
    </w:p>
    <w:bookmarkStart w:id="0" w:name="_GoBack" w:displacedByCustomXml="prev"/>
    <w:p w14:paraId="46252164" w14:textId="77777777" w:rsidR="003E176A" w:rsidRDefault="00B352F9">
      <w:pPr>
        <w:widowControl w:val="0"/>
        <w:suppressAutoHyphens/>
        <w:jc w:val="center"/>
      </w:pPr>
      <w:r>
        <w:rPr>
          <w:vanish/>
          <w:color w:val="000000"/>
        </w:rPr>
        <w:t>________________</w:t>
      </w:r>
    </w:p>
    <w:p w14:paraId="46252165" w14:textId="77777777" w:rsidR="003E176A" w:rsidRDefault="00B352F9"/>
    <w:bookmarkEnd w:id="0" w:displacedByCustomXml="next"/>
    <w:sectPr w:rsidR="003E176A">
      <w:pgSz w:w="11907" w:h="16840" w:code="9"/>
      <w:pgMar w:top="1134" w:right="1134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396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EB0"/>
    <w:rsid w:val="003E176A"/>
    <w:rsid w:val="007E7EB0"/>
    <w:rsid w:val="00B3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251F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B352F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B352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yperlink" TargetMode="External" Target="https://www.e-tar.lt/portal/lt/legalAct/TAR.4A56D4B53214"/>
  <Relationship Id="rId11" Type="http://schemas.openxmlformats.org/officeDocument/2006/relationships/hyperlink" TargetMode="External" Target="https://www.e-tar.lt/portal/lt/legalAct/TAR.9A3AD08EA5D0"/>
  <Relationship Id="rId12" Type="http://schemas.openxmlformats.org/officeDocument/2006/relationships/hyperlink" TargetMode="External" Target="https://www.e-tar.lt/portal/lt/legalAct/TAR.0546D91E9C63"/>
  <Relationship Id="rId13" Type="http://schemas.openxmlformats.org/officeDocument/2006/relationships/hyperlink" TargetMode="External" Target="https://www.e-tar.lt/portal/lt/legalAct/TAR.6A8A7A3BBCDC"/>
  <Relationship Id="rId14" Type="http://schemas.openxmlformats.org/officeDocument/2006/relationships/hyperlink" TargetMode="External" Target="https://www.e-tar.lt/portal/lt/legalAct/TAR.05D51C35B933"/>
  <Relationship Id="rId15" Type="http://schemas.openxmlformats.org/officeDocument/2006/relationships/hyperlink" TargetMode="External" Target="https://www.e-tar.lt/portal/lt/legalAct/TAR.F1D86F455636"/>
  <Relationship Id="rId16" Type="http://schemas.openxmlformats.org/officeDocument/2006/relationships/hyperlink" TargetMode="External" Target="https://www.e-tar.lt/portal/lt/legalAct/TAR.DC61D74561C5"/>
  <Relationship Id="rId17" Type="http://schemas.openxmlformats.org/officeDocument/2006/relationships/hyperlink" TargetMode="External" Target="https://www.e-tar.lt/portal/lt/legalAct/TAR.F04E9B76D75A"/>
  <Relationship Id="rId18" Type="http://schemas.openxmlformats.org/officeDocument/2006/relationships/hyperlink" TargetMode="External" Target="https://www.e-tar.lt/portal/lt/legalAct/TAR.B981DD8B3AC4"/>
  <Relationship Id="rId19" Type="http://schemas.openxmlformats.org/officeDocument/2006/relationships/hyperlink" TargetMode="External" Target="https://www.e-tar.lt/portal/lt/legalAct/TAR.9BB254501DB8"/>
  <Relationship Id="rId2" Type="http://schemas.openxmlformats.org/officeDocument/2006/relationships/styles" Target="styles.xml"/>
  <Relationship Id="rId20" Type="http://schemas.openxmlformats.org/officeDocument/2006/relationships/hyperlink" TargetMode="External" Target="https://www.e-tar.lt/portal/lt/legalAct/TAR.2099D15473C7"/>
  <Relationship Id="rId21" Type="http://schemas.openxmlformats.org/officeDocument/2006/relationships/hyperlink" TargetMode="External" Target="https://www.e-tar.lt/portal/lt/legalAct/TAR.7BDF9739A9CD"/>
  <Relationship Id="rId22" Type="http://schemas.openxmlformats.org/officeDocument/2006/relationships/hyperlink" TargetMode="External" Target="https://www.e-tar.lt/portal/lt/legalAct/TAR.68AF35CB36BB"/>
  <Relationship Id="rId23" Type="http://schemas.openxmlformats.org/officeDocument/2006/relationships/hyperlink" TargetMode="External" Target="https://www.e-tar.lt/portal/lt/legalAct/TAR.4B800077DC38"/>
  <Relationship Id="rId24" Type="http://schemas.openxmlformats.org/officeDocument/2006/relationships/hyperlink" TargetMode="External" Target="https://www.e-tar.lt/portal/lt/legalAct/TAR.34E2C5F24512"/>
  <Relationship Id="rId25" Type="http://schemas.openxmlformats.org/officeDocument/2006/relationships/hyperlink" TargetMode="External" Target="https://www.e-tar.lt/portal/lt/legalAct/TAR.46067B742448"/>
  <Relationship Id="rId26" Type="http://schemas.openxmlformats.org/officeDocument/2006/relationships/hyperlink" TargetMode="External" Target="https://www.e-tar.lt/portal/lt/legalAct/TAR.FE685BE23E8A"/>
  <Relationship Id="rId27" Type="http://schemas.openxmlformats.org/officeDocument/2006/relationships/hyperlink" TargetMode="External" Target="https://www.e-tar.lt/portal/lt/legalAct/TAR.351F4F67AE12"/>
  <Relationship Id="rId28" Type="http://schemas.openxmlformats.org/officeDocument/2006/relationships/hyperlink" TargetMode="External" Target="https://www.e-tar.lt/portal/lt/legalAct/TAR.E2AD94465B29"/>
  <Relationship Id="rId29" Type="http://schemas.openxmlformats.org/officeDocument/2006/relationships/fontTable" Target="fontTable.xml"/>
  <Relationship Id="rId3" Type="http://schemas.microsoft.com/office/2007/relationships/stylesWithEffects" Target="stylesWithEffects.xml"/>
  <Relationship Id="rId30" Type="http://schemas.openxmlformats.org/officeDocument/2006/relationships/glossaryDocument" Target="glossary/document.xml"/>
  <Relationship Id="rId31" Type="http://schemas.openxmlformats.org/officeDocument/2006/relationships/theme" Target="theme/theme1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image" Target="media/image1.wmf"/>
  <Relationship Id="rId7" Type="http://schemas.openxmlformats.org/officeDocument/2006/relationships/control" Target="activeX/activeX1.xml"/>
  <Relationship Id="rId8" Type="http://schemas.openxmlformats.org/officeDocument/2006/relationships/hyperlink" TargetMode="External" Target="https://www.e-tar.lt/portal/lt/legalAct/TAR.DD80CF948782"/>
  <Relationship Id="rId9" Type="http://schemas.openxmlformats.org/officeDocument/2006/relationships/hyperlink" TargetMode="External" Target="https://www.e-tar.lt/portal/lt/legalAct/TAR.0BCCDA9AAF34"/>
</Relationships>

</file>

<file path=word/activeX/_rels/activeX1.xml.rels><?xml version="1.0" encoding="UTF-8"?>

<Relationships xmlns="http://schemas.openxmlformats.org/package/2006/relationships">
  <Relationship Id="rId1" Type="http://schemas.microsoft.com/office/2006/relationships/activeXControlBinary" Target="activeX1.bin"/>
</Relationships>

</file>

<file path=word/activeX/activeX1.xml><?xml version="1.0" encoding="utf-8"?>
<ax:ocx xmlns:ax="http://schemas.microsoft.com/office/2006/activeX" xmlns:r="http://schemas.openxmlformats.org/officeDocument/2006/relationships" ax:classid="{868FBE40-B964-453C-BEA2-77F32F2C294F}" ax:persistence="persistStorage" r:id="rId1"/>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750"/>
    <w:rsid w:val="00BD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BD175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BD175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23029</Words>
  <Characters>13127</Characters>
  <Application>Microsoft Office Word</Application>
  <DocSecurity>0</DocSecurity>
  <Lines>109</Lines>
  <Paragraphs>72</Paragraphs>
  <ScaleCrop>false</ScaleCrop>
  <Company>Teisines informacijos centras</Company>
  <LinksUpToDate>false</LinksUpToDate>
  <CharactersWithSpaces>36084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2015-06-11T20:05:00Z</dcterms:created>
  <dc:creator>Sandra</dc:creator>
  <lastModifiedBy>PETRAUSKAITĖ Girmantė</lastModifiedBy>
  <dcterms:modified xsi:type="dcterms:W3CDTF">2015-09-28T07:10:00Z</dcterms:modified>
  <revision>3</revision>
  <dc:title>LIETUVOS RESPUBLIKOS SVEIKATOS APSAUGOS MINISTRO</dc:title>
</coreProperties>
</file>